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97" w:rsidRDefault="00714997" w:rsidP="00714997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MEMORANDUM OF AGREEMENT</w:t>
      </w:r>
    </w:p>
    <w:p w:rsidR="00493F7E" w:rsidRDefault="00493F7E" w:rsidP="0071499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Regarding </w:t>
      </w:r>
    </w:p>
    <w:p w:rsidR="00714997" w:rsidRPr="00A734E0" w:rsidRDefault="00714997" w:rsidP="00714997">
      <w:pPr>
        <w:jc w:val="center"/>
        <w:rPr>
          <w:b/>
          <w:color w:val="000000"/>
        </w:rPr>
      </w:pPr>
      <w:r>
        <w:rPr>
          <w:b/>
          <w:color w:val="000000"/>
        </w:rPr>
        <w:t>the</w:t>
      </w:r>
    </w:p>
    <w:p w:rsidR="00714997" w:rsidRDefault="00714997" w:rsidP="00714997">
      <w:pPr>
        <w:jc w:val="center"/>
        <w:rPr>
          <w:b/>
          <w:color w:val="000000"/>
        </w:rPr>
      </w:pPr>
      <w:r w:rsidRPr="00A734E0">
        <w:rPr>
          <w:b/>
          <w:color w:val="000000"/>
        </w:rPr>
        <w:t>TOLL VIOLATION ENFORCEMENT RECIPROCITY</w:t>
      </w:r>
      <w:r>
        <w:rPr>
          <w:b/>
          <w:color w:val="000000"/>
        </w:rPr>
        <w:t xml:space="preserve"> PROGRAM</w:t>
      </w:r>
    </w:p>
    <w:p w:rsidR="00714997" w:rsidRPr="00D331B9" w:rsidRDefault="00F1125A" w:rsidP="00714997">
      <w:pPr>
        <w:jc w:val="center"/>
        <w:rPr>
          <w:color w:val="000000"/>
        </w:rPr>
      </w:pPr>
      <w:r>
        <w:rPr>
          <w:b/>
          <w:color w:val="000000"/>
        </w:rPr>
        <w:t>B</w:t>
      </w:r>
      <w:r w:rsidR="00714997">
        <w:rPr>
          <w:b/>
          <w:color w:val="000000"/>
        </w:rPr>
        <w:t>etween</w:t>
      </w:r>
      <w:r w:rsidR="00D331B9">
        <w:rPr>
          <w:b/>
          <w:color w:val="000000"/>
        </w:rPr>
        <w:t xml:space="preserve"> </w:t>
      </w:r>
    </w:p>
    <w:p w:rsidR="00714997" w:rsidRDefault="00D331B9" w:rsidP="00D331B9">
      <w:pPr>
        <w:jc w:val="center"/>
        <w:rPr>
          <w:b/>
          <w:color w:val="000000"/>
        </w:rPr>
      </w:pPr>
      <w:r>
        <w:rPr>
          <w:b/>
          <w:color w:val="000000"/>
        </w:rPr>
        <w:t>Massachusetts Department of Transportation</w:t>
      </w:r>
    </w:p>
    <w:p w:rsidR="00D331B9" w:rsidRDefault="00D331B9" w:rsidP="00D331B9">
      <w:pPr>
        <w:jc w:val="center"/>
        <w:rPr>
          <w:b/>
          <w:color w:val="000000"/>
        </w:rPr>
      </w:pPr>
      <w:r>
        <w:rPr>
          <w:b/>
          <w:color w:val="000000"/>
        </w:rPr>
        <w:t>And</w:t>
      </w:r>
    </w:p>
    <w:p w:rsidR="00D331B9" w:rsidRDefault="00D331B9" w:rsidP="00D331B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New York </w:t>
      </w:r>
    </w:p>
    <w:p w:rsidR="00714997" w:rsidRPr="004A282B" w:rsidRDefault="00714997" w:rsidP="00714997">
      <w:pPr>
        <w:jc w:val="center"/>
        <w:rPr>
          <w:b/>
          <w:color w:val="000000"/>
        </w:rPr>
      </w:pPr>
    </w:p>
    <w:p w:rsidR="00714997" w:rsidRDefault="00714997" w:rsidP="00D331B9">
      <w:pPr>
        <w:spacing w:after="120"/>
        <w:ind w:left="720" w:right="720" w:firstLine="720"/>
        <w:jc w:val="both"/>
        <w:rPr>
          <w:color w:val="000000"/>
        </w:rPr>
      </w:pPr>
      <w:r>
        <w:rPr>
          <w:color w:val="000000"/>
        </w:rPr>
        <w:t>This Agreement is entered into</w:t>
      </w:r>
      <w:r w:rsidR="008E057A">
        <w:rPr>
          <w:color w:val="000000"/>
        </w:rPr>
        <w:t xml:space="preserve"> as of this _____ day of </w:t>
      </w:r>
      <w:r w:rsidR="00D331B9">
        <w:rPr>
          <w:color w:val="000000"/>
        </w:rPr>
        <w:t>May, 2017</w:t>
      </w:r>
      <w:r w:rsidR="00F1125A">
        <w:rPr>
          <w:color w:val="000000"/>
        </w:rPr>
        <w:t>,</w:t>
      </w:r>
      <w:r>
        <w:rPr>
          <w:color w:val="000000"/>
        </w:rPr>
        <w:t xml:space="preserve"> by and among the Massachusetts De</w:t>
      </w:r>
      <w:r w:rsidR="008E057A">
        <w:rPr>
          <w:color w:val="000000"/>
        </w:rPr>
        <w:t>partment of Transportation (Mass</w:t>
      </w:r>
      <w:r w:rsidR="00D331B9">
        <w:rPr>
          <w:color w:val="000000"/>
        </w:rPr>
        <w:t xml:space="preserve">DOT), and </w:t>
      </w:r>
      <w:r w:rsidR="00D331B9" w:rsidRPr="00D331B9">
        <w:rPr>
          <w:b/>
          <w:color w:val="000000"/>
        </w:rPr>
        <w:t>New York (“XXX”)</w:t>
      </w:r>
      <w:r>
        <w:rPr>
          <w:color w:val="000000"/>
        </w:rPr>
        <w:t>, each a “Party” and collectively the “Parties."  .</w:t>
      </w:r>
    </w:p>
    <w:p w:rsidR="00714997" w:rsidRDefault="00714997" w:rsidP="00D331B9">
      <w:pPr>
        <w:spacing w:after="120"/>
        <w:ind w:left="720" w:right="720" w:firstLine="720"/>
        <w:jc w:val="both"/>
        <w:rPr>
          <w:color w:val="000000"/>
        </w:rPr>
      </w:pPr>
      <w:r>
        <w:rPr>
          <w:color w:val="000000"/>
        </w:rPr>
        <w:t xml:space="preserve">WHEREAS, </w:t>
      </w:r>
      <w:r>
        <w:t>c</w:t>
      </w:r>
      <w:r w:rsidRPr="00AA7C35">
        <w:rPr>
          <w:color w:val="000000"/>
        </w:rPr>
        <w:t>ollecting tolls and administrative fees from out-of-state toll violators has been an industry issue since the implementation of electronic toll systems</w:t>
      </w:r>
      <w:r>
        <w:rPr>
          <w:color w:val="000000"/>
        </w:rPr>
        <w:t>; and</w:t>
      </w:r>
    </w:p>
    <w:p w:rsidR="00714997" w:rsidRDefault="00714997" w:rsidP="00D331B9">
      <w:pPr>
        <w:spacing w:after="120"/>
        <w:ind w:left="720" w:right="720" w:firstLine="720"/>
        <w:jc w:val="both"/>
        <w:rPr>
          <w:color w:val="000000"/>
        </w:rPr>
      </w:pPr>
      <w:r>
        <w:rPr>
          <w:color w:val="000000"/>
        </w:rPr>
        <w:t xml:space="preserve">WHEREAS, the need for toll violation enforcement reciprocity is becoming more vital as the </w:t>
      </w:r>
      <w:r w:rsidRPr="00AA7C35">
        <w:rPr>
          <w:color w:val="000000"/>
        </w:rPr>
        <w:t xml:space="preserve">toll industry </w:t>
      </w:r>
      <w:r>
        <w:rPr>
          <w:color w:val="000000"/>
        </w:rPr>
        <w:t>trends</w:t>
      </w:r>
      <w:r w:rsidRPr="00AA7C35">
        <w:rPr>
          <w:color w:val="000000"/>
        </w:rPr>
        <w:t xml:space="preserve"> toward the implementation of </w:t>
      </w:r>
      <w:r w:rsidR="00E26159">
        <w:rPr>
          <w:color w:val="000000"/>
        </w:rPr>
        <w:t>Open Road Tolling</w:t>
      </w:r>
      <w:r>
        <w:rPr>
          <w:color w:val="000000"/>
        </w:rPr>
        <w:t xml:space="preserve"> and </w:t>
      </w:r>
      <w:r w:rsidR="00E26159">
        <w:rPr>
          <w:color w:val="000000"/>
        </w:rPr>
        <w:t xml:space="preserve">All Electronic Tolling, </w:t>
      </w:r>
      <w:r>
        <w:rPr>
          <w:color w:val="000000"/>
        </w:rPr>
        <w:t>and reduced reliance on cash collection at</w:t>
      </w:r>
      <w:r w:rsidRPr="00AA7C35">
        <w:rPr>
          <w:color w:val="000000"/>
        </w:rPr>
        <w:t xml:space="preserve"> toll booth</w:t>
      </w:r>
      <w:r>
        <w:rPr>
          <w:color w:val="000000"/>
        </w:rPr>
        <w:t xml:space="preserve">s; and </w:t>
      </w:r>
    </w:p>
    <w:p w:rsidR="00E26159" w:rsidRDefault="00E26159" w:rsidP="00D331B9">
      <w:pPr>
        <w:spacing w:after="120"/>
        <w:ind w:left="720" w:right="720" w:firstLine="720"/>
        <w:jc w:val="both"/>
        <w:rPr>
          <w:color w:val="000000"/>
        </w:rPr>
      </w:pPr>
      <w:r w:rsidRPr="00E26159">
        <w:rPr>
          <w:color w:val="000000"/>
        </w:rPr>
        <w:t>WHEREAS, on July 12, 2010, a Resolution to Support Reciprocity of Electronic Toll Collection was adopted and certified by the New England Governors’ Conference, Inc.; and</w:t>
      </w:r>
    </w:p>
    <w:p w:rsidR="00E26159" w:rsidRDefault="00E26159" w:rsidP="00D331B9">
      <w:pPr>
        <w:spacing w:after="120"/>
        <w:ind w:left="720" w:right="720" w:firstLine="720"/>
        <w:jc w:val="both"/>
        <w:rPr>
          <w:color w:val="000000"/>
        </w:rPr>
      </w:pPr>
      <w:r>
        <w:rPr>
          <w:color w:val="000000"/>
        </w:rPr>
        <w:t>WHEREAS, since that time, Massachusetts has successfully implemented toll enforcement reciprocity programs with certain New England states; and</w:t>
      </w:r>
    </w:p>
    <w:p w:rsidR="00E26159" w:rsidRDefault="00E26159" w:rsidP="00D331B9">
      <w:pPr>
        <w:spacing w:after="120"/>
        <w:ind w:left="720" w:right="720" w:firstLine="720"/>
        <w:jc w:val="both"/>
        <w:rPr>
          <w:color w:val="000000"/>
        </w:rPr>
      </w:pPr>
      <w:r w:rsidRPr="00E26159">
        <w:rPr>
          <w:color w:val="000000"/>
        </w:rPr>
        <w:t xml:space="preserve">WHEREAS, the Parties </w:t>
      </w:r>
      <w:r>
        <w:rPr>
          <w:color w:val="000000"/>
        </w:rPr>
        <w:t xml:space="preserve">to this Agreement </w:t>
      </w:r>
      <w:r w:rsidRPr="00E26159">
        <w:rPr>
          <w:color w:val="000000"/>
        </w:rPr>
        <w:t>desire to expand reciprocity for toll collection enforcement to Massachusetts and New York; and</w:t>
      </w:r>
    </w:p>
    <w:p w:rsidR="00714997" w:rsidRDefault="00714997" w:rsidP="00D331B9">
      <w:pPr>
        <w:spacing w:after="120"/>
        <w:ind w:left="720" w:right="720" w:firstLine="720"/>
        <w:jc w:val="both"/>
        <w:rPr>
          <w:color w:val="000000"/>
        </w:rPr>
      </w:pPr>
      <w:r>
        <w:rPr>
          <w:color w:val="000000"/>
        </w:rPr>
        <w:t>WHEREAS, the laws of each state allow for</w:t>
      </w:r>
      <w:r w:rsidRPr="00677E1F">
        <w:rPr>
          <w:color w:val="000000"/>
        </w:rPr>
        <w:t xml:space="preserve"> </w:t>
      </w:r>
      <w:r>
        <w:rPr>
          <w:color w:val="000000"/>
        </w:rPr>
        <w:t xml:space="preserve">reciprocal </w:t>
      </w:r>
      <w:r w:rsidRPr="00677E1F">
        <w:rPr>
          <w:color w:val="000000"/>
        </w:rPr>
        <w:t xml:space="preserve">agreements </w:t>
      </w:r>
      <w:r>
        <w:rPr>
          <w:color w:val="000000"/>
        </w:rPr>
        <w:t>with other jurisdictions for the collection of tolls and fees; and</w:t>
      </w:r>
    </w:p>
    <w:p w:rsidR="00714997" w:rsidRDefault="00714997" w:rsidP="00D331B9">
      <w:pPr>
        <w:spacing w:after="120"/>
        <w:ind w:left="720" w:right="720" w:firstLine="720"/>
        <w:jc w:val="both"/>
        <w:rPr>
          <w:color w:val="000000"/>
        </w:rPr>
      </w:pPr>
      <w:r>
        <w:rPr>
          <w:color w:val="000000"/>
        </w:rPr>
        <w:t xml:space="preserve">NOW </w:t>
      </w:r>
      <w:r w:rsidRPr="004A4BB9">
        <w:rPr>
          <w:color w:val="000000"/>
        </w:rPr>
        <w:t xml:space="preserve">THEREFORE, </w:t>
      </w:r>
      <w:r>
        <w:rPr>
          <w:color w:val="000000"/>
        </w:rPr>
        <w:t>for valid consideration, including the promises set forth in this Agreement, the receipt and sufficiency of which the Parties acknowledge, the Parties agree as follows:</w:t>
      </w:r>
    </w:p>
    <w:p w:rsidR="00714997" w:rsidRDefault="00714997" w:rsidP="00D331B9">
      <w:pPr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1.  </w:t>
      </w:r>
      <w:r w:rsidRPr="00E26159">
        <w:rPr>
          <w:b/>
          <w:color w:val="000000"/>
        </w:rPr>
        <w:t>Definitions</w:t>
      </w:r>
      <w:r w:rsidRPr="00C51A7E">
        <w:rPr>
          <w:color w:val="000000"/>
        </w:rPr>
        <w:t xml:space="preserve"> - </w:t>
      </w:r>
      <w:r>
        <w:rPr>
          <w:color w:val="000000"/>
        </w:rPr>
        <w:t>As used in this Agreement</w:t>
      </w:r>
      <w:r w:rsidRPr="00C51A7E">
        <w:rPr>
          <w:color w:val="000000"/>
        </w:rPr>
        <w:t xml:space="preserve">, unless </w:t>
      </w:r>
      <w:r>
        <w:rPr>
          <w:color w:val="000000"/>
        </w:rPr>
        <w:t xml:space="preserve">the context </w:t>
      </w:r>
      <w:r w:rsidRPr="00C51A7E">
        <w:rPr>
          <w:color w:val="000000"/>
        </w:rPr>
        <w:t xml:space="preserve">otherwise </w:t>
      </w:r>
      <w:r>
        <w:rPr>
          <w:color w:val="000000"/>
        </w:rPr>
        <w:t xml:space="preserve">indicates, the following terms </w:t>
      </w:r>
      <w:r w:rsidRPr="00C51A7E">
        <w:rPr>
          <w:color w:val="000000"/>
        </w:rPr>
        <w:t>have the following meaning</w:t>
      </w:r>
      <w:r>
        <w:rPr>
          <w:color w:val="000000"/>
        </w:rPr>
        <w:t>s</w:t>
      </w:r>
      <w:r w:rsidRPr="00C51A7E">
        <w:rPr>
          <w:color w:val="000000"/>
        </w:rPr>
        <w:t>:</w:t>
      </w:r>
    </w:p>
    <w:p w:rsidR="00714997" w:rsidRDefault="00714997" w:rsidP="00E26159">
      <w:pPr>
        <w:ind w:left="1440" w:right="720" w:hanging="360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  <w:t>Home state –</w:t>
      </w:r>
      <w:r w:rsidR="00E26159">
        <w:rPr>
          <w:color w:val="000000"/>
        </w:rPr>
        <w:t xml:space="preserve"> the state in which the </w:t>
      </w:r>
      <w:r>
        <w:rPr>
          <w:color w:val="000000"/>
        </w:rPr>
        <w:t>motor vehicle</w:t>
      </w:r>
      <w:r w:rsidR="00E26159">
        <w:rPr>
          <w:color w:val="000000"/>
        </w:rPr>
        <w:t xml:space="preserve"> that received a violation</w:t>
      </w:r>
      <w:r>
        <w:rPr>
          <w:color w:val="000000"/>
        </w:rPr>
        <w:t xml:space="preserve"> is registered.</w:t>
      </w:r>
    </w:p>
    <w:p w:rsidR="00714997" w:rsidRDefault="00714997" w:rsidP="00E26159">
      <w:pPr>
        <w:ind w:left="1440" w:right="720" w:hanging="360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  <w:t>Toll state – the state in which a toll violation has occurred under the laws and rules of that state.</w:t>
      </w:r>
    </w:p>
    <w:p w:rsidR="00714997" w:rsidRDefault="00714997" w:rsidP="00E26159">
      <w:pPr>
        <w:ind w:left="1440" w:right="720" w:hanging="360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Suspension – the temporary withdrawal for cause of vehicle registration privileges, an enforceme</w:t>
      </w:r>
      <w:r w:rsidR="00E26159">
        <w:rPr>
          <w:color w:val="000000"/>
        </w:rPr>
        <w:t>nt method</w:t>
      </w:r>
      <w:r>
        <w:rPr>
          <w:color w:val="000000"/>
        </w:rPr>
        <w:t>.</w:t>
      </w:r>
    </w:p>
    <w:p w:rsidR="00714997" w:rsidRDefault="00714997" w:rsidP="00E26159">
      <w:pPr>
        <w:spacing w:after="120"/>
        <w:ind w:left="1440" w:right="720" w:hanging="360"/>
        <w:jc w:val="both"/>
        <w:rPr>
          <w:color w:val="000000"/>
        </w:rPr>
      </w:pPr>
      <w:r>
        <w:rPr>
          <w:color w:val="000000"/>
        </w:rPr>
        <w:t>d.</w:t>
      </w:r>
      <w:r>
        <w:rPr>
          <w:color w:val="000000"/>
        </w:rPr>
        <w:tab/>
        <w:t>Renewal hold – the denial for cause of the right to renew a vehicle registration</w:t>
      </w:r>
      <w:r w:rsidR="00870FEF">
        <w:rPr>
          <w:color w:val="000000"/>
        </w:rPr>
        <w:t xml:space="preserve"> and/or </w:t>
      </w:r>
      <w:r w:rsidR="00F10771">
        <w:rPr>
          <w:color w:val="000000"/>
        </w:rPr>
        <w:t xml:space="preserve">renew </w:t>
      </w:r>
      <w:r w:rsidR="00870FEF">
        <w:rPr>
          <w:color w:val="000000"/>
        </w:rPr>
        <w:t>a license to operate a</w:t>
      </w:r>
      <w:r w:rsidR="00870FEF" w:rsidRPr="00870FEF">
        <w:rPr>
          <w:color w:val="000000"/>
        </w:rPr>
        <w:t xml:space="preserve"> vehicle</w:t>
      </w:r>
      <w:r>
        <w:rPr>
          <w:color w:val="000000"/>
        </w:rPr>
        <w:t>.</w:t>
      </w:r>
    </w:p>
    <w:p w:rsidR="00714997" w:rsidRPr="00A6117C" w:rsidRDefault="00714997" w:rsidP="00D331B9">
      <w:pPr>
        <w:spacing w:after="120"/>
        <w:ind w:left="720" w:right="720"/>
        <w:jc w:val="both"/>
      </w:pPr>
      <w:r>
        <w:t xml:space="preserve">2.  </w:t>
      </w:r>
      <w:r w:rsidR="0073397D" w:rsidRPr="0073397D">
        <w:rPr>
          <w:b/>
        </w:rPr>
        <w:t>Termination</w:t>
      </w:r>
      <w:r w:rsidR="0073397D">
        <w:t xml:space="preserve"> - </w:t>
      </w:r>
      <w:r>
        <w:t xml:space="preserve">A Party may terminate this agreement at any time by providing </w:t>
      </w:r>
      <w:r w:rsidR="0073397D">
        <w:t>(</w:t>
      </w:r>
      <w:r>
        <w:t>30</w:t>
      </w:r>
      <w:r w:rsidR="0073397D">
        <w:t>) thirty</w:t>
      </w:r>
      <w:r>
        <w:t xml:space="preserve"> days</w:t>
      </w:r>
      <w:r w:rsidR="0073397D">
        <w:t>’</w:t>
      </w:r>
      <w:r>
        <w:t xml:space="preserve"> wri</w:t>
      </w:r>
      <w:r w:rsidR="0073397D">
        <w:t>tten notice to the other Party</w:t>
      </w:r>
      <w:r>
        <w:t>.  Upon termination, prior enforcement actions taken under this Agreement will remain in progress and</w:t>
      </w:r>
      <w:r w:rsidR="00FD57B5">
        <w:t xml:space="preserve"> in</w:t>
      </w:r>
      <w:r>
        <w:t xml:space="preserve"> full effect until the violations are cleared.  </w:t>
      </w:r>
      <w:r>
        <w:rPr>
          <w:color w:val="000000"/>
        </w:rPr>
        <w:t xml:space="preserve">The Parties must maintain the confidentiality of any information obtained in </w:t>
      </w:r>
      <w:r>
        <w:rPr>
          <w:color w:val="000000"/>
        </w:rPr>
        <w:lastRenderedPageBreak/>
        <w:t>performing this Agreement if the laws of either state require the information to remain confidential.</w:t>
      </w:r>
    </w:p>
    <w:p w:rsidR="00714997" w:rsidRPr="00D02D05" w:rsidRDefault="00714997" w:rsidP="00D331B9">
      <w:pPr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3.  </w:t>
      </w:r>
      <w:r w:rsidR="0073397D" w:rsidRPr="0073397D">
        <w:rPr>
          <w:b/>
          <w:color w:val="000000"/>
        </w:rPr>
        <w:t xml:space="preserve">Vehicle </w:t>
      </w:r>
      <w:r w:rsidR="0073397D">
        <w:rPr>
          <w:b/>
          <w:color w:val="000000"/>
        </w:rPr>
        <w:t xml:space="preserve">Registration </w:t>
      </w:r>
      <w:r w:rsidR="0073397D" w:rsidRPr="0073397D">
        <w:rPr>
          <w:b/>
          <w:color w:val="000000"/>
        </w:rPr>
        <w:t>Suspension, Revocation or Non-Renewal</w:t>
      </w:r>
      <w:r w:rsidR="0073397D">
        <w:rPr>
          <w:color w:val="000000"/>
        </w:rPr>
        <w:t xml:space="preserve"> - </w:t>
      </w:r>
      <w:r>
        <w:rPr>
          <w:color w:val="000000"/>
        </w:rPr>
        <w:t>Upon request of the toll state,</w:t>
      </w:r>
      <w:r w:rsidRPr="00ED7F12">
        <w:rPr>
          <w:color w:val="000000"/>
        </w:rPr>
        <w:t xml:space="preserve"> </w:t>
      </w:r>
      <w:r>
        <w:rPr>
          <w:color w:val="000000"/>
        </w:rPr>
        <w:t>a home state</w:t>
      </w:r>
      <w:r w:rsidRPr="00ED7F12">
        <w:rPr>
          <w:color w:val="000000"/>
        </w:rPr>
        <w:t xml:space="preserve"> will</w:t>
      </w:r>
      <w:r w:rsidR="0073397D">
        <w:rPr>
          <w:color w:val="000000"/>
        </w:rPr>
        <w:t>, consistent with the home state’s</w:t>
      </w:r>
      <w:r>
        <w:rPr>
          <w:color w:val="000000"/>
        </w:rPr>
        <w:t xml:space="preserve"> own laws and rules, either</w:t>
      </w:r>
      <w:r w:rsidRPr="00ED7F12">
        <w:rPr>
          <w:color w:val="000000"/>
        </w:rPr>
        <w:t xml:space="preserve"> </w:t>
      </w:r>
      <w:r>
        <w:rPr>
          <w:color w:val="000000"/>
        </w:rPr>
        <w:t>suspend</w:t>
      </w:r>
      <w:r w:rsidR="0073397D">
        <w:rPr>
          <w:color w:val="000000"/>
        </w:rPr>
        <w:t xml:space="preserve"> or revoke, or deny renewal of vehicle registration, </w:t>
      </w:r>
      <w:r w:rsidR="00897302" w:rsidRPr="009E62BA">
        <w:rPr>
          <w:color w:val="000000"/>
          <w:highlight w:val="yellow"/>
        </w:rPr>
        <w:t>and/</w:t>
      </w:r>
      <w:r w:rsidR="00200822" w:rsidRPr="009E62BA">
        <w:rPr>
          <w:color w:val="000000"/>
          <w:highlight w:val="yellow"/>
        </w:rPr>
        <w:t>or the</w:t>
      </w:r>
      <w:r w:rsidR="00870FEF" w:rsidRPr="009E62BA">
        <w:rPr>
          <w:color w:val="000000"/>
          <w:highlight w:val="yellow"/>
        </w:rPr>
        <w:t xml:space="preserve"> license to operate</w:t>
      </w:r>
      <w:r w:rsidR="00870FEF">
        <w:rPr>
          <w:color w:val="000000"/>
        </w:rPr>
        <w:t xml:space="preserve"> a vehicle</w:t>
      </w:r>
      <w:r>
        <w:rPr>
          <w:color w:val="000000"/>
        </w:rPr>
        <w:t xml:space="preserve"> </w:t>
      </w:r>
      <w:r w:rsidR="00200822">
        <w:rPr>
          <w:color w:val="000000"/>
        </w:rPr>
        <w:t>of</w:t>
      </w:r>
      <w:r w:rsidRPr="00332236">
        <w:rPr>
          <w:color w:val="000000"/>
        </w:rPr>
        <w:t xml:space="preserve"> a </w:t>
      </w:r>
      <w:r>
        <w:rPr>
          <w:color w:val="000000"/>
        </w:rPr>
        <w:t>vehicle owner</w:t>
      </w:r>
      <w:r w:rsidRPr="00332236">
        <w:rPr>
          <w:color w:val="000000"/>
        </w:rPr>
        <w:t xml:space="preserve"> who </w:t>
      </w:r>
      <w:r>
        <w:rPr>
          <w:color w:val="000000"/>
        </w:rPr>
        <w:t>fails to</w:t>
      </w:r>
      <w:r w:rsidRPr="00332236">
        <w:rPr>
          <w:color w:val="000000"/>
        </w:rPr>
        <w:t xml:space="preserve"> pay</w:t>
      </w:r>
      <w:r>
        <w:rPr>
          <w:color w:val="000000"/>
        </w:rPr>
        <w:t xml:space="preserve"> the tolls, fines or fees legally</w:t>
      </w:r>
      <w:r w:rsidR="00200822">
        <w:rPr>
          <w:color w:val="000000"/>
        </w:rPr>
        <w:t xml:space="preserve"> </w:t>
      </w:r>
      <w:r>
        <w:rPr>
          <w:color w:val="000000"/>
        </w:rPr>
        <w:t>assessed for a violation in the toll state.</w:t>
      </w:r>
    </w:p>
    <w:p w:rsidR="00714997" w:rsidRDefault="00714997" w:rsidP="00D331B9">
      <w:pPr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4.  </w:t>
      </w:r>
      <w:r w:rsidR="009E62BA" w:rsidRPr="009E62BA">
        <w:rPr>
          <w:b/>
          <w:color w:val="000000"/>
        </w:rPr>
        <w:t>Registered Owner Responsible</w:t>
      </w:r>
      <w:r w:rsidR="009E62BA">
        <w:rPr>
          <w:color w:val="000000"/>
        </w:rPr>
        <w:t xml:space="preserve"> - </w:t>
      </w:r>
      <w:r>
        <w:rPr>
          <w:color w:val="000000"/>
        </w:rPr>
        <w:t xml:space="preserve">The laws of each state covered by this Agreement require that the </w:t>
      </w:r>
      <w:r w:rsidRPr="00D02D05">
        <w:rPr>
          <w:color w:val="000000"/>
        </w:rPr>
        <w:t xml:space="preserve">registered owner of </w:t>
      </w:r>
      <w:r>
        <w:rPr>
          <w:color w:val="000000"/>
        </w:rPr>
        <w:t>a vehicle pay</w:t>
      </w:r>
      <w:r w:rsidRPr="00D02D05">
        <w:rPr>
          <w:color w:val="000000"/>
        </w:rPr>
        <w:t xml:space="preserve"> for </w:t>
      </w:r>
      <w:r>
        <w:rPr>
          <w:color w:val="000000"/>
        </w:rPr>
        <w:t xml:space="preserve">a </w:t>
      </w:r>
      <w:r w:rsidRPr="00D02D05">
        <w:rPr>
          <w:color w:val="000000"/>
        </w:rPr>
        <w:t xml:space="preserve">toll </w:t>
      </w:r>
      <w:r>
        <w:rPr>
          <w:color w:val="000000"/>
        </w:rPr>
        <w:t>violation by an operator of that vehicle unless:</w:t>
      </w:r>
    </w:p>
    <w:p w:rsidR="00714997" w:rsidRDefault="00714997" w:rsidP="0073397D">
      <w:pPr>
        <w:ind w:left="1612" w:right="720" w:hanging="446"/>
        <w:jc w:val="both"/>
        <w:rPr>
          <w:color w:val="000000"/>
        </w:rPr>
      </w:pPr>
      <w:r>
        <w:rPr>
          <w:color w:val="000000"/>
        </w:rPr>
        <w:t>a.</w:t>
      </w:r>
      <w:r>
        <w:rPr>
          <w:color w:val="000000"/>
        </w:rPr>
        <w:tab/>
      </w:r>
      <w:r w:rsidRPr="005F4274">
        <w:rPr>
          <w:color w:val="000000"/>
        </w:rPr>
        <w:t>the vehicle has been misidentified;</w:t>
      </w:r>
    </w:p>
    <w:p w:rsidR="00714997" w:rsidRDefault="00714997" w:rsidP="0073397D">
      <w:pPr>
        <w:ind w:left="1612" w:right="720" w:hanging="446"/>
        <w:jc w:val="both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Pr="005F4274">
        <w:rPr>
          <w:color w:val="000000"/>
        </w:rPr>
        <w:t>the vehicle was being used without the owner’s permission as evidenced by a police report identifying the vehicle as stolen;</w:t>
      </w:r>
      <w:r>
        <w:rPr>
          <w:color w:val="000000"/>
        </w:rPr>
        <w:t xml:space="preserve"> or</w:t>
      </w:r>
    </w:p>
    <w:p w:rsidR="00714997" w:rsidRPr="00D02D05" w:rsidRDefault="00714997" w:rsidP="0073397D">
      <w:pPr>
        <w:spacing w:after="120"/>
        <w:ind w:left="1612" w:right="720" w:hanging="450"/>
        <w:jc w:val="both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 w:rsidRPr="005F4274">
        <w:rPr>
          <w:color w:val="000000"/>
        </w:rPr>
        <w:t>a statutory de</w:t>
      </w:r>
      <w:r>
        <w:rPr>
          <w:color w:val="000000"/>
        </w:rPr>
        <w:t>fense of the toll state appli</w:t>
      </w:r>
      <w:r w:rsidR="0073397D">
        <w:rPr>
          <w:color w:val="000000"/>
        </w:rPr>
        <w:t>es</w:t>
      </w:r>
      <w:r>
        <w:rPr>
          <w:color w:val="000000"/>
        </w:rPr>
        <w:t>.</w:t>
      </w:r>
    </w:p>
    <w:p w:rsidR="00714997" w:rsidRPr="00D02D05" w:rsidRDefault="00714997" w:rsidP="00D331B9">
      <w:pPr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5.  </w:t>
      </w:r>
      <w:r w:rsidR="009E62BA" w:rsidRPr="009E62BA">
        <w:rPr>
          <w:b/>
          <w:color w:val="000000"/>
        </w:rPr>
        <w:t>Issuance of Toll Violation</w:t>
      </w:r>
      <w:r w:rsidR="009E62BA">
        <w:rPr>
          <w:color w:val="000000"/>
        </w:rPr>
        <w:t xml:space="preserve"> - </w:t>
      </w:r>
      <w:r>
        <w:rPr>
          <w:color w:val="000000"/>
        </w:rPr>
        <w:t>The toll state may assess a violation</w:t>
      </w:r>
      <w:r w:rsidRPr="00D02D05">
        <w:rPr>
          <w:color w:val="000000"/>
        </w:rPr>
        <w:t xml:space="preserve"> based on a photograph or digital image of the vehicle</w:t>
      </w:r>
      <w:r>
        <w:rPr>
          <w:color w:val="000000"/>
        </w:rPr>
        <w:t>’s</w:t>
      </w:r>
      <w:r w:rsidRPr="00D02D05">
        <w:rPr>
          <w:color w:val="000000"/>
        </w:rPr>
        <w:t xml:space="preserve"> license </w:t>
      </w:r>
      <w:r>
        <w:rPr>
          <w:color w:val="000000"/>
        </w:rPr>
        <w:t xml:space="preserve">plate.  </w:t>
      </w:r>
      <w:r w:rsidR="00F10771">
        <w:rPr>
          <w:color w:val="000000"/>
        </w:rPr>
        <w:t>T</w:t>
      </w:r>
      <w:r w:rsidRPr="00D02D05">
        <w:rPr>
          <w:color w:val="000000"/>
        </w:rPr>
        <w:t xml:space="preserve">he </w:t>
      </w:r>
      <w:r>
        <w:rPr>
          <w:color w:val="000000"/>
        </w:rPr>
        <w:t>toll state will send</w:t>
      </w:r>
      <w:r w:rsidR="00F10771">
        <w:rPr>
          <w:color w:val="000000"/>
        </w:rPr>
        <w:t xml:space="preserve"> by first class mail</w:t>
      </w:r>
      <w:r>
        <w:rPr>
          <w:color w:val="000000"/>
        </w:rPr>
        <w:t xml:space="preserve"> to the registered owner a</w:t>
      </w:r>
      <w:r w:rsidRPr="00D02D05">
        <w:rPr>
          <w:color w:val="000000"/>
        </w:rPr>
        <w:t xml:space="preserve"> notice </w:t>
      </w:r>
      <w:r>
        <w:rPr>
          <w:color w:val="000000"/>
        </w:rPr>
        <w:t>that will</w:t>
      </w:r>
      <w:r w:rsidRPr="00D02D05">
        <w:rPr>
          <w:color w:val="000000"/>
        </w:rPr>
        <w:t xml:space="preserve"> include the photograph or digital image or other proof of responsibility</w:t>
      </w:r>
      <w:r>
        <w:rPr>
          <w:color w:val="000000"/>
        </w:rPr>
        <w:t xml:space="preserve"> for the toll.  </w:t>
      </w:r>
      <w:r w:rsidRPr="00D02D05">
        <w:rPr>
          <w:color w:val="000000"/>
        </w:rPr>
        <w:t xml:space="preserve">The notice </w:t>
      </w:r>
      <w:r>
        <w:rPr>
          <w:color w:val="000000"/>
        </w:rPr>
        <w:t>will</w:t>
      </w:r>
      <w:r w:rsidRPr="00D02D05">
        <w:rPr>
          <w:color w:val="000000"/>
        </w:rPr>
        <w:t xml:space="preserve"> state the penalties that may b</w:t>
      </w:r>
      <w:r>
        <w:rPr>
          <w:color w:val="000000"/>
        </w:rPr>
        <w:t>e imposed, including a suspension or renewal hold by the home state.</w:t>
      </w:r>
    </w:p>
    <w:p w:rsidR="00714997" w:rsidRPr="00D02D05" w:rsidRDefault="00714997" w:rsidP="009E62BA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6.  </w:t>
      </w:r>
      <w:r w:rsidR="009E62BA" w:rsidRPr="009E62BA">
        <w:rPr>
          <w:b/>
          <w:color w:val="000000"/>
        </w:rPr>
        <w:t>Toll Violator Information</w:t>
      </w:r>
      <w:r w:rsidR="009E62BA">
        <w:rPr>
          <w:color w:val="000000"/>
        </w:rPr>
        <w:t xml:space="preserve"> - </w:t>
      </w:r>
      <w:r>
        <w:rPr>
          <w:color w:val="000000"/>
        </w:rPr>
        <w:t>The home state will provide the toll s</w:t>
      </w:r>
      <w:r w:rsidRPr="00D02D05">
        <w:rPr>
          <w:color w:val="000000"/>
        </w:rPr>
        <w:t xml:space="preserve">tate </w:t>
      </w:r>
      <w:r>
        <w:rPr>
          <w:color w:val="000000"/>
        </w:rPr>
        <w:t>the</w:t>
      </w:r>
      <w:r w:rsidRPr="00D02D05">
        <w:rPr>
          <w:color w:val="000000"/>
        </w:rPr>
        <w:t xml:space="preserve"> </w:t>
      </w:r>
      <w:r w:rsidR="00F10771">
        <w:rPr>
          <w:color w:val="000000"/>
        </w:rPr>
        <w:t>name</w:t>
      </w:r>
      <w:r>
        <w:rPr>
          <w:color w:val="000000"/>
        </w:rPr>
        <w:t xml:space="preserve"> and current recorded address of</w:t>
      </w:r>
      <w:r w:rsidRPr="00D02D05">
        <w:rPr>
          <w:color w:val="000000"/>
        </w:rPr>
        <w:t xml:space="preserve"> the </w:t>
      </w:r>
      <w:r>
        <w:rPr>
          <w:color w:val="000000"/>
        </w:rPr>
        <w:t xml:space="preserve">registered </w:t>
      </w:r>
      <w:r w:rsidRPr="00D02D05">
        <w:rPr>
          <w:color w:val="000000"/>
        </w:rPr>
        <w:t xml:space="preserve">owner of </w:t>
      </w:r>
      <w:r>
        <w:rPr>
          <w:color w:val="000000"/>
        </w:rPr>
        <w:t xml:space="preserve">a violating vehicle.  If provided through a third party, the identity must be verified by the home state’s </w:t>
      </w:r>
      <w:r w:rsidRPr="00D02D05">
        <w:rPr>
          <w:color w:val="000000"/>
        </w:rPr>
        <w:t>registration agency</w:t>
      </w:r>
      <w:r>
        <w:rPr>
          <w:color w:val="000000"/>
        </w:rPr>
        <w:t xml:space="preserve"> prior to suspension or renewal hold.</w:t>
      </w:r>
      <w:r w:rsidR="009E62BA">
        <w:rPr>
          <w:color w:val="000000"/>
        </w:rPr>
        <w:t xml:space="preserve">  </w:t>
      </w:r>
      <w:r w:rsidR="00F10771">
        <w:rPr>
          <w:color w:val="000000"/>
        </w:rPr>
        <w:t>Exce</w:t>
      </w:r>
      <w:r w:rsidR="009E62BA">
        <w:rPr>
          <w:color w:val="000000"/>
        </w:rPr>
        <w:t>pt as provided herein</w:t>
      </w:r>
      <w:r w:rsidR="00F10771">
        <w:rPr>
          <w:color w:val="000000"/>
        </w:rPr>
        <w:t>, t</w:t>
      </w:r>
      <w:r>
        <w:rPr>
          <w:color w:val="000000"/>
        </w:rPr>
        <w:t>he toll state may not release the address information obtained directly from the home state’s motor vehicle agency and may not employ a collection entity to use such information.</w:t>
      </w:r>
    </w:p>
    <w:p w:rsidR="00714997" w:rsidRPr="004A282B" w:rsidRDefault="00714997" w:rsidP="00D331B9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8.  </w:t>
      </w:r>
      <w:r w:rsidR="009E62BA" w:rsidRPr="009E62BA">
        <w:rPr>
          <w:b/>
          <w:color w:val="000000"/>
        </w:rPr>
        <w:t>Appeals and Hearings</w:t>
      </w:r>
      <w:r w:rsidR="009E62BA">
        <w:rPr>
          <w:color w:val="000000"/>
        </w:rPr>
        <w:t xml:space="preserve"> - </w:t>
      </w:r>
      <w:r>
        <w:rPr>
          <w:color w:val="000000"/>
        </w:rPr>
        <w:t xml:space="preserve">The toll state will provide to non-resident </w:t>
      </w:r>
      <w:r w:rsidR="009E62BA">
        <w:rPr>
          <w:color w:val="000000"/>
        </w:rPr>
        <w:t xml:space="preserve">vehicle </w:t>
      </w:r>
      <w:r>
        <w:rPr>
          <w:color w:val="000000"/>
        </w:rPr>
        <w:t>owners the same a</w:t>
      </w:r>
      <w:r w:rsidRPr="00381264">
        <w:rPr>
          <w:color w:val="000000"/>
        </w:rPr>
        <w:t>djudication and due</w:t>
      </w:r>
      <w:r w:rsidRPr="00381264">
        <w:rPr>
          <w:rFonts w:ascii="Calibri" w:hAnsi="Calibri"/>
          <w:color w:val="000000"/>
        </w:rPr>
        <w:t>‐</w:t>
      </w:r>
      <w:r w:rsidRPr="00381264">
        <w:rPr>
          <w:color w:val="000000"/>
        </w:rPr>
        <w:t>process</w:t>
      </w:r>
      <w:r>
        <w:rPr>
          <w:color w:val="000000"/>
        </w:rPr>
        <w:t xml:space="preserve"> rights, including rights of appeal,</w:t>
      </w:r>
      <w:r w:rsidRPr="00381264">
        <w:rPr>
          <w:color w:val="000000"/>
        </w:rPr>
        <w:t xml:space="preserve"> </w:t>
      </w:r>
      <w:r>
        <w:rPr>
          <w:color w:val="000000"/>
        </w:rPr>
        <w:t xml:space="preserve">that are provided to in-state owners.  The toll state will offer each non-resident </w:t>
      </w:r>
      <w:r w:rsidRPr="007A1462">
        <w:rPr>
          <w:color w:val="000000"/>
        </w:rPr>
        <w:t xml:space="preserve">owner </w:t>
      </w:r>
      <w:r>
        <w:rPr>
          <w:color w:val="000000"/>
        </w:rPr>
        <w:t>a hearing officer's record review and a reasonable</w:t>
      </w:r>
      <w:r w:rsidRPr="007A1462">
        <w:rPr>
          <w:color w:val="000000"/>
        </w:rPr>
        <w:t xml:space="preserve"> opportunity to contest respon</w:t>
      </w:r>
      <w:r>
        <w:rPr>
          <w:color w:val="000000"/>
        </w:rPr>
        <w:t>sibility for the violation through evidence submitted</w:t>
      </w:r>
      <w:r w:rsidR="009E62BA">
        <w:rPr>
          <w:color w:val="000000"/>
        </w:rPr>
        <w:t xml:space="preserve"> by mail, telephone, electronic, or other means as determined by the toll state, </w:t>
      </w:r>
      <w:r w:rsidR="00FD57B5">
        <w:rPr>
          <w:color w:val="000000"/>
        </w:rPr>
        <w:t>that do not require a</w:t>
      </w:r>
      <w:r>
        <w:rPr>
          <w:color w:val="000000"/>
        </w:rPr>
        <w:t xml:space="preserve"> person</w:t>
      </w:r>
      <w:r w:rsidR="00FD57B5">
        <w:rPr>
          <w:color w:val="000000"/>
        </w:rPr>
        <w:t>al</w:t>
      </w:r>
      <w:r>
        <w:rPr>
          <w:color w:val="000000"/>
        </w:rPr>
        <w:t xml:space="preserve"> appearance.</w:t>
      </w:r>
    </w:p>
    <w:p w:rsidR="00714997" w:rsidRPr="004A282B" w:rsidRDefault="00714997" w:rsidP="00D331B9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9.  </w:t>
      </w:r>
      <w:r w:rsidR="009E62BA" w:rsidRPr="009E62BA">
        <w:rPr>
          <w:b/>
          <w:color w:val="000000"/>
        </w:rPr>
        <w:t>Violation Threshold</w:t>
      </w:r>
      <w:r w:rsidR="009E62BA">
        <w:rPr>
          <w:color w:val="000000"/>
        </w:rPr>
        <w:t xml:space="preserve"> - Tolling agencies from the Parties’</w:t>
      </w:r>
      <w:r>
        <w:rPr>
          <w:color w:val="000000"/>
        </w:rPr>
        <w:t xml:space="preserve"> states will agree upon a threshold of unresolved violations sufficient to trigger enforcement.  When a non-resident vehicle owner has reached the threshold, </w:t>
      </w:r>
      <w:r w:rsidRPr="00D02D05">
        <w:rPr>
          <w:color w:val="000000"/>
        </w:rPr>
        <w:t xml:space="preserve">the </w:t>
      </w:r>
      <w:r>
        <w:rPr>
          <w:color w:val="000000"/>
        </w:rPr>
        <w:t>t</w:t>
      </w:r>
      <w:r w:rsidRPr="00D02D05">
        <w:rPr>
          <w:color w:val="000000"/>
        </w:rPr>
        <w:t xml:space="preserve">oll </w:t>
      </w:r>
      <w:r>
        <w:rPr>
          <w:color w:val="000000"/>
        </w:rPr>
        <w:t>s</w:t>
      </w:r>
      <w:r w:rsidRPr="00D02D05">
        <w:rPr>
          <w:color w:val="000000"/>
        </w:rPr>
        <w:t xml:space="preserve">tate </w:t>
      </w:r>
      <w:r>
        <w:rPr>
          <w:color w:val="000000"/>
        </w:rPr>
        <w:t>may request suspension or re</w:t>
      </w:r>
      <w:r w:rsidR="00FD57B5">
        <w:rPr>
          <w:color w:val="000000"/>
        </w:rPr>
        <w:t>newal hold from the home state.</w:t>
      </w:r>
    </w:p>
    <w:p w:rsidR="0016172B" w:rsidRPr="008F1AB8" w:rsidRDefault="0016172B" w:rsidP="00D331B9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 w:rsidRPr="00D331B9">
        <w:rPr>
          <w:color w:val="000000"/>
        </w:rPr>
        <w:t xml:space="preserve">10.  </w:t>
      </w:r>
      <w:r w:rsidR="00CB03F9" w:rsidRPr="00CB03F9">
        <w:rPr>
          <w:b/>
          <w:color w:val="000000"/>
        </w:rPr>
        <w:t>Fees and Penalties</w:t>
      </w:r>
      <w:r w:rsidR="00CB03F9">
        <w:rPr>
          <w:color w:val="000000"/>
        </w:rPr>
        <w:t xml:space="preserve"> - </w:t>
      </w:r>
      <w:r w:rsidRPr="00D331B9">
        <w:rPr>
          <w:color w:val="000000"/>
        </w:rPr>
        <w:t xml:space="preserve">Toll violation fees and penalties, exclusive of outstanding tolls, may not exceed </w:t>
      </w:r>
      <w:r w:rsidR="00CB03F9">
        <w:rPr>
          <w:color w:val="000000"/>
        </w:rPr>
        <w:t>[</w:t>
      </w:r>
      <w:r w:rsidR="00CB03F9" w:rsidRPr="00CB03F9">
        <w:rPr>
          <w:color w:val="000000"/>
          <w:highlight w:val="yellow"/>
        </w:rPr>
        <w:t>What is threshold and range</w:t>
      </w:r>
      <w:r w:rsidR="00CB03F9">
        <w:rPr>
          <w:color w:val="000000"/>
        </w:rPr>
        <w:t xml:space="preserve"> </w:t>
      </w:r>
      <w:r w:rsidR="00CB03F9" w:rsidRPr="00CB03F9">
        <w:rPr>
          <w:color w:val="000000"/>
          <w:highlight w:val="yellow"/>
        </w:rPr>
        <w:t>for enforcement</w:t>
      </w:r>
      <w:r w:rsidR="00CB03F9">
        <w:rPr>
          <w:color w:val="000000"/>
        </w:rPr>
        <w:t xml:space="preserve">?].  </w:t>
      </w:r>
      <w:r w:rsidRPr="00D331B9">
        <w:rPr>
          <w:color w:val="000000"/>
        </w:rPr>
        <w:t>The home state may require that the</w:t>
      </w:r>
      <w:r>
        <w:rPr>
          <w:color w:val="000000"/>
        </w:rPr>
        <w:t xml:space="preserve"> claim for fees and penalties be reduced accordingly.  The law of the home state shall control the consequences within the home state for non-payment of out-of-state toll violations, including the terms for suspension or renewal hold.</w:t>
      </w:r>
    </w:p>
    <w:p w:rsidR="00CB03F9" w:rsidRDefault="00714997" w:rsidP="00D331B9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11.  </w:t>
      </w:r>
      <w:r w:rsidR="00CB03F9" w:rsidRPr="00CB03F9">
        <w:rPr>
          <w:b/>
          <w:color w:val="000000"/>
        </w:rPr>
        <w:t>Violation</w:t>
      </w:r>
      <w:r w:rsidR="00CB03F9">
        <w:rPr>
          <w:b/>
          <w:color w:val="000000"/>
        </w:rPr>
        <w:t xml:space="preserve"> Disposition</w:t>
      </w:r>
      <w:r w:rsidR="00CB03F9">
        <w:rPr>
          <w:color w:val="000000"/>
        </w:rPr>
        <w:t xml:space="preserve"> - </w:t>
      </w:r>
      <w:r>
        <w:rPr>
          <w:color w:val="000000"/>
        </w:rPr>
        <w:t>The home state will honor the toll s</w:t>
      </w:r>
      <w:r w:rsidRPr="00D02D05">
        <w:rPr>
          <w:color w:val="000000"/>
        </w:rPr>
        <w:t xml:space="preserve">tate’s final determination </w:t>
      </w:r>
      <w:r w:rsidR="00CD7CDA">
        <w:rPr>
          <w:color w:val="000000"/>
        </w:rPr>
        <w:t xml:space="preserve">as to whether </w:t>
      </w:r>
      <w:r w:rsidRPr="00D02D05">
        <w:rPr>
          <w:color w:val="000000"/>
        </w:rPr>
        <w:t>the</w:t>
      </w:r>
      <w:r>
        <w:rPr>
          <w:color w:val="000000"/>
        </w:rPr>
        <w:t xml:space="preserve"> registered</w:t>
      </w:r>
      <w:r w:rsidRPr="00D02D05">
        <w:rPr>
          <w:color w:val="000000"/>
        </w:rPr>
        <w:t xml:space="preserve"> owner is responsible for the toll</w:t>
      </w:r>
      <w:r>
        <w:rPr>
          <w:color w:val="000000"/>
        </w:rPr>
        <w:t xml:space="preserve"> violation</w:t>
      </w:r>
      <w:r w:rsidRPr="00D02D05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CB03F9" w:rsidRPr="00CB03F9">
        <w:rPr>
          <w:color w:val="000000"/>
        </w:rPr>
        <w:t xml:space="preserve">The law of the home </w:t>
      </w:r>
      <w:r w:rsidR="00CB03F9" w:rsidRPr="00CB03F9">
        <w:rPr>
          <w:color w:val="000000"/>
        </w:rPr>
        <w:lastRenderedPageBreak/>
        <w:t>state shall control the consequences within the home state for non-payment of out-of-state toll violations, including the terms for suspension or renewal hold.</w:t>
      </w:r>
    </w:p>
    <w:p w:rsidR="00714997" w:rsidRDefault="00714997" w:rsidP="00D331B9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12.  </w:t>
      </w:r>
      <w:r w:rsidR="00CB03F9" w:rsidRPr="00CB03F9">
        <w:rPr>
          <w:b/>
          <w:color w:val="000000"/>
        </w:rPr>
        <w:t>Notification</w:t>
      </w:r>
      <w:r w:rsidR="00CB03F9">
        <w:rPr>
          <w:color w:val="000000"/>
        </w:rPr>
        <w:t xml:space="preserve"> - </w:t>
      </w:r>
      <w:r>
        <w:rPr>
          <w:color w:val="000000"/>
        </w:rPr>
        <w:t>The toll state will notify the home s</w:t>
      </w:r>
      <w:r w:rsidRPr="00D02D05">
        <w:rPr>
          <w:color w:val="000000"/>
        </w:rPr>
        <w:t>tate</w:t>
      </w:r>
      <w:r>
        <w:rPr>
          <w:color w:val="000000"/>
        </w:rPr>
        <w:t xml:space="preserve"> in writing within one</w:t>
      </w:r>
      <w:r w:rsidR="00CB03F9">
        <w:rPr>
          <w:color w:val="000000"/>
        </w:rPr>
        <w:t xml:space="preserve"> (1)</w:t>
      </w:r>
      <w:r>
        <w:rPr>
          <w:color w:val="000000"/>
        </w:rPr>
        <w:t xml:space="preserve"> business day</w:t>
      </w:r>
      <w:r w:rsidRPr="00D02D05">
        <w:rPr>
          <w:color w:val="000000"/>
        </w:rPr>
        <w:t xml:space="preserve"> </w:t>
      </w:r>
      <w:r>
        <w:rPr>
          <w:color w:val="000000"/>
        </w:rPr>
        <w:t>after</w:t>
      </w:r>
      <w:r w:rsidRPr="00D02D05">
        <w:rPr>
          <w:color w:val="000000"/>
        </w:rPr>
        <w:t xml:space="preserve"> the </w:t>
      </w:r>
      <w:r>
        <w:rPr>
          <w:color w:val="000000"/>
        </w:rPr>
        <w:t xml:space="preserve">vehicle owner has paid the tolls </w:t>
      </w:r>
      <w:r w:rsidRPr="00D02D05">
        <w:rPr>
          <w:color w:val="000000"/>
        </w:rPr>
        <w:t xml:space="preserve">and </w:t>
      </w:r>
      <w:r>
        <w:rPr>
          <w:color w:val="000000"/>
        </w:rPr>
        <w:t>associated</w:t>
      </w:r>
      <w:r w:rsidRPr="00D02D05">
        <w:rPr>
          <w:color w:val="000000"/>
        </w:rPr>
        <w:t xml:space="preserve"> penalties.</w:t>
      </w:r>
      <w:r>
        <w:rPr>
          <w:color w:val="000000"/>
        </w:rPr>
        <w:t xml:space="preserve">  Upon the </w:t>
      </w:r>
      <w:r w:rsidR="00CB03F9">
        <w:rPr>
          <w:color w:val="000000"/>
        </w:rPr>
        <w:t xml:space="preserve">vehicle </w:t>
      </w:r>
      <w:r>
        <w:rPr>
          <w:color w:val="000000"/>
        </w:rPr>
        <w:t>owner's payment of reinstat</w:t>
      </w:r>
      <w:r w:rsidR="00CB03F9">
        <w:rPr>
          <w:color w:val="000000"/>
        </w:rPr>
        <w:t>ement fees to the appropriate Registry of Motor Vehicles (RMV)</w:t>
      </w:r>
      <w:r>
        <w:rPr>
          <w:color w:val="000000"/>
        </w:rPr>
        <w:t>, the suspension or renewal hold may be removed.</w:t>
      </w:r>
    </w:p>
    <w:p w:rsidR="00714997" w:rsidRDefault="00714997" w:rsidP="00D331B9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 xml:space="preserve">13. </w:t>
      </w:r>
      <w:r w:rsidR="00CB03F9">
        <w:rPr>
          <w:color w:val="000000"/>
        </w:rPr>
        <w:t xml:space="preserve"> </w:t>
      </w:r>
      <w:r w:rsidR="00272C63" w:rsidRPr="00272C63">
        <w:rPr>
          <w:b/>
          <w:color w:val="000000"/>
        </w:rPr>
        <w:t>RMV Fees</w:t>
      </w:r>
      <w:r w:rsidR="00272C63">
        <w:rPr>
          <w:color w:val="000000"/>
        </w:rPr>
        <w:t xml:space="preserve"> - </w:t>
      </w:r>
      <w:r w:rsidR="00CB03F9">
        <w:rPr>
          <w:color w:val="000000"/>
        </w:rPr>
        <w:t xml:space="preserve">The fines and fees that may be assessed by the individual State’s RMV </w:t>
      </w:r>
      <w:r>
        <w:rPr>
          <w:color w:val="000000"/>
        </w:rPr>
        <w:t xml:space="preserve">for suspension, renewal hold, or reinstatement of a vehicle registration </w:t>
      </w:r>
      <w:r w:rsidR="00CB03F9">
        <w:rPr>
          <w:color w:val="000000"/>
        </w:rPr>
        <w:t xml:space="preserve">will </w:t>
      </w:r>
      <w:r>
        <w:rPr>
          <w:color w:val="000000"/>
        </w:rPr>
        <w:t>be paid separately from the payment of tolls and toll violations.</w:t>
      </w:r>
    </w:p>
    <w:p w:rsidR="00714997" w:rsidRPr="004A282B" w:rsidRDefault="00714997" w:rsidP="00D331B9">
      <w:pPr>
        <w:tabs>
          <w:tab w:val="left" w:pos="0"/>
        </w:tabs>
        <w:spacing w:after="120"/>
        <w:ind w:left="720" w:right="720"/>
        <w:jc w:val="both"/>
      </w:pPr>
      <w:r>
        <w:t xml:space="preserve">14.  </w:t>
      </w:r>
      <w:r w:rsidR="00272C63" w:rsidRPr="00272C63">
        <w:rPr>
          <w:b/>
        </w:rPr>
        <w:t>Confidentiality</w:t>
      </w:r>
      <w:r w:rsidR="00272C63">
        <w:t xml:space="preserve"> - </w:t>
      </w:r>
      <w:r>
        <w:t xml:space="preserve">The Parties will honor the laws of either state </w:t>
      </w:r>
      <w:r w:rsidR="00383651">
        <w:t xml:space="preserve">regarding </w:t>
      </w:r>
      <w:r w:rsidR="00272C63">
        <w:t>confidentiality of</w:t>
      </w:r>
      <w:r>
        <w:t xml:space="preserve"> any</w:t>
      </w:r>
      <w:r w:rsidR="00272C63">
        <w:t xml:space="preserve"> and all toll data</w:t>
      </w:r>
      <w:r>
        <w:t xml:space="preserve"> information acquired in performing this Agreement.</w:t>
      </w:r>
    </w:p>
    <w:p w:rsidR="00714997" w:rsidRDefault="00714997" w:rsidP="00D331B9">
      <w:pPr>
        <w:tabs>
          <w:tab w:val="left" w:pos="0"/>
        </w:tabs>
        <w:spacing w:after="120"/>
        <w:ind w:left="720" w:right="720"/>
        <w:jc w:val="both"/>
        <w:rPr>
          <w:color w:val="000000"/>
        </w:rPr>
      </w:pPr>
      <w:r>
        <w:rPr>
          <w:color w:val="000000"/>
        </w:rPr>
        <w:t>IN WITNESS WHEREOF, the Parties have executed this Agreement as of the date first written above.</w:t>
      </w:r>
    </w:p>
    <w:p w:rsidR="00714997" w:rsidRDefault="00714997" w:rsidP="00D331B9">
      <w:pPr>
        <w:tabs>
          <w:tab w:val="left" w:pos="0"/>
        </w:tabs>
        <w:spacing w:after="120"/>
        <w:ind w:left="720" w:right="720"/>
        <w:rPr>
          <w:color w:val="000000"/>
        </w:rPr>
      </w:pPr>
    </w:p>
    <w:p w:rsidR="00714997" w:rsidRDefault="00E26159" w:rsidP="00D331B9">
      <w:pPr>
        <w:spacing w:after="120"/>
        <w:ind w:left="720" w:right="720"/>
        <w:rPr>
          <w:b/>
          <w:color w:val="000000"/>
        </w:rPr>
      </w:pPr>
      <w:r>
        <w:rPr>
          <w:b/>
          <w:color w:val="000000"/>
        </w:rPr>
        <w:t>NEW YORK</w:t>
      </w:r>
      <w:r w:rsidR="00714997">
        <w:rPr>
          <w:b/>
          <w:color w:val="000000"/>
        </w:rPr>
        <w:t>:</w:t>
      </w:r>
    </w:p>
    <w:p w:rsidR="00714997" w:rsidRDefault="00714997" w:rsidP="00D331B9">
      <w:pPr>
        <w:spacing w:after="120"/>
        <w:ind w:left="720" w:right="720"/>
        <w:rPr>
          <w:b/>
          <w:color w:val="000000"/>
        </w:rPr>
      </w:pPr>
    </w:p>
    <w:p w:rsidR="00714997" w:rsidRDefault="00714997" w:rsidP="00D331B9">
      <w:pPr>
        <w:spacing w:after="120"/>
        <w:ind w:left="720" w:right="720"/>
      </w:pPr>
      <w:r>
        <w:rPr>
          <w:b/>
          <w:color w:val="000000"/>
        </w:rPr>
        <w:t>________________</w:t>
      </w:r>
      <w:r w:rsidR="00E26159">
        <w:rPr>
          <w:b/>
          <w:color w:val="000000"/>
        </w:rPr>
        <w:t>_____________________________</w:t>
      </w:r>
      <w:r w:rsidR="00E26159">
        <w:rPr>
          <w:b/>
          <w:color w:val="000000"/>
        </w:rPr>
        <w:tab/>
      </w:r>
      <w:r>
        <w:rPr>
          <w:b/>
          <w:color w:val="000000"/>
        </w:rPr>
        <w:t>______________</w:t>
      </w:r>
    </w:p>
    <w:p w:rsidR="00714997" w:rsidRDefault="00714997" w:rsidP="00D331B9">
      <w:pPr>
        <w:tabs>
          <w:tab w:val="left" w:pos="720"/>
          <w:tab w:val="left" w:pos="6750"/>
        </w:tabs>
        <w:spacing w:after="120"/>
        <w:ind w:left="720" w:right="720"/>
        <w:rPr>
          <w:b/>
          <w:color w:val="000000"/>
        </w:rPr>
      </w:pPr>
      <w:r>
        <w:rPr>
          <w:b/>
          <w:color w:val="000000"/>
        </w:rPr>
        <w:tab/>
        <w:t>Date</w:t>
      </w:r>
    </w:p>
    <w:p w:rsidR="00714997" w:rsidRDefault="00714997" w:rsidP="00D331B9">
      <w:pPr>
        <w:spacing w:after="120"/>
        <w:ind w:left="720" w:right="720"/>
        <w:rPr>
          <w:b/>
          <w:color w:val="000000"/>
        </w:rPr>
      </w:pPr>
    </w:p>
    <w:p w:rsidR="00714997" w:rsidRDefault="00714997" w:rsidP="00D331B9">
      <w:pPr>
        <w:spacing w:after="120"/>
        <w:ind w:left="720" w:right="720"/>
        <w:rPr>
          <w:b/>
          <w:color w:val="000000"/>
        </w:rPr>
      </w:pPr>
      <w:r>
        <w:rPr>
          <w:b/>
          <w:color w:val="000000"/>
        </w:rPr>
        <w:t>MASSACHUSETTS</w:t>
      </w:r>
      <w:r w:rsidRPr="00A734E0">
        <w:rPr>
          <w:b/>
          <w:color w:val="000000"/>
        </w:rPr>
        <w:t xml:space="preserve"> DEPARTMENT OF TRANSPORTATION</w:t>
      </w:r>
      <w:r>
        <w:rPr>
          <w:b/>
          <w:color w:val="000000"/>
        </w:rPr>
        <w:t>:</w:t>
      </w:r>
    </w:p>
    <w:p w:rsidR="00714997" w:rsidRDefault="00714997" w:rsidP="00D331B9">
      <w:pPr>
        <w:spacing w:after="120"/>
        <w:ind w:left="720" w:right="720"/>
        <w:rPr>
          <w:b/>
          <w:color w:val="000000"/>
        </w:rPr>
      </w:pPr>
    </w:p>
    <w:p w:rsidR="00714997" w:rsidRDefault="00714997" w:rsidP="00D331B9">
      <w:pPr>
        <w:spacing w:after="120"/>
        <w:ind w:left="720" w:right="720"/>
      </w:pPr>
      <w:r>
        <w:rPr>
          <w:b/>
          <w:color w:val="000000"/>
        </w:rPr>
        <w:t>_______________</w:t>
      </w:r>
      <w:r w:rsidR="00E26159">
        <w:rPr>
          <w:b/>
          <w:color w:val="000000"/>
        </w:rPr>
        <w:t>______________________________</w:t>
      </w:r>
      <w:r w:rsidR="00E26159">
        <w:rPr>
          <w:b/>
          <w:color w:val="000000"/>
        </w:rPr>
        <w:tab/>
      </w:r>
      <w:r>
        <w:rPr>
          <w:b/>
          <w:color w:val="000000"/>
        </w:rPr>
        <w:t>_______________</w:t>
      </w:r>
    </w:p>
    <w:p w:rsidR="00714997" w:rsidRDefault="00383651" w:rsidP="00D331B9">
      <w:pPr>
        <w:tabs>
          <w:tab w:val="left" w:pos="720"/>
          <w:tab w:val="left" w:pos="6840"/>
        </w:tabs>
        <w:spacing w:after="120"/>
        <w:ind w:left="720" w:right="720"/>
        <w:rPr>
          <w:b/>
          <w:color w:val="000000"/>
        </w:rPr>
      </w:pPr>
      <w:r>
        <w:rPr>
          <w:b/>
          <w:color w:val="000000"/>
        </w:rPr>
        <w:t>Secretary of Transportation</w:t>
      </w:r>
      <w:r w:rsidR="00714997">
        <w:rPr>
          <w:b/>
          <w:color w:val="000000"/>
        </w:rPr>
        <w:tab/>
        <w:t>Date</w:t>
      </w:r>
    </w:p>
    <w:p w:rsidR="00714997" w:rsidRDefault="00714997" w:rsidP="00D331B9">
      <w:pPr>
        <w:spacing w:after="120"/>
        <w:ind w:left="720" w:right="720"/>
        <w:rPr>
          <w:b/>
          <w:color w:val="000000"/>
        </w:rPr>
      </w:pPr>
    </w:p>
    <w:p w:rsidR="00714997" w:rsidRDefault="00714997" w:rsidP="00D331B9">
      <w:pPr>
        <w:spacing w:after="120"/>
        <w:ind w:left="720" w:right="720"/>
        <w:rPr>
          <w:b/>
          <w:color w:val="000000"/>
        </w:rPr>
      </w:pPr>
    </w:p>
    <w:p w:rsidR="00714997" w:rsidRDefault="00714997" w:rsidP="00D331B9">
      <w:pPr>
        <w:spacing w:after="120"/>
        <w:ind w:left="720" w:right="720"/>
        <w:rPr>
          <w:b/>
          <w:color w:val="000000"/>
        </w:rPr>
      </w:pPr>
      <w:r>
        <w:rPr>
          <w:b/>
          <w:color w:val="000000"/>
        </w:rPr>
        <w:t>MASSACHUSETTS</w:t>
      </w:r>
      <w:r w:rsidRPr="00A734E0">
        <w:rPr>
          <w:b/>
          <w:color w:val="000000"/>
        </w:rPr>
        <w:t xml:space="preserve"> </w:t>
      </w:r>
      <w:r>
        <w:rPr>
          <w:b/>
          <w:color w:val="000000"/>
        </w:rPr>
        <w:t xml:space="preserve">REGISTRY OF </w:t>
      </w:r>
      <w:r w:rsidRPr="00A734E0">
        <w:rPr>
          <w:b/>
          <w:color w:val="000000"/>
        </w:rPr>
        <w:t>MOTOR VEHICLES</w:t>
      </w:r>
      <w:r>
        <w:rPr>
          <w:b/>
          <w:color w:val="000000"/>
        </w:rPr>
        <w:t>:</w:t>
      </w:r>
    </w:p>
    <w:p w:rsidR="00714997" w:rsidRPr="00A734E0" w:rsidRDefault="00714997" w:rsidP="00D331B9">
      <w:pPr>
        <w:spacing w:after="120"/>
        <w:ind w:left="720" w:right="720"/>
        <w:rPr>
          <w:b/>
          <w:color w:val="000000"/>
        </w:rPr>
      </w:pPr>
    </w:p>
    <w:p w:rsidR="00714997" w:rsidRPr="00A6117C" w:rsidRDefault="00714997" w:rsidP="00D331B9">
      <w:pPr>
        <w:spacing w:after="120"/>
        <w:ind w:left="720" w:right="720"/>
        <w:rPr>
          <w:b/>
          <w:color w:val="000000"/>
        </w:rPr>
      </w:pPr>
      <w:r>
        <w:rPr>
          <w:b/>
          <w:color w:val="000000"/>
        </w:rPr>
        <w:t>_______________</w:t>
      </w:r>
      <w:r w:rsidR="00E26159">
        <w:rPr>
          <w:b/>
          <w:color w:val="000000"/>
        </w:rPr>
        <w:t>______________________________</w:t>
      </w:r>
      <w:r w:rsidR="00E26159">
        <w:rPr>
          <w:b/>
          <w:color w:val="000000"/>
        </w:rPr>
        <w:tab/>
      </w:r>
      <w:r>
        <w:rPr>
          <w:b/>
          <w:color w:val="000000"/>
        </w:rPr>
        <w:t>________________</w:t>
      </w:r>
    </w:p>
    <w:p w:rsidR="00714997" w:rsidRPr="001C756B" w:rsidRDefault="00383651" w:rsidP="00D331B9">
      <w:pPr>
        <w:tabs>
          <w:tab w:val="left" w:pos="720"/>
          <w:tab w:val="left" w:pos="6840"/>
        </w:tabs>
        <w:spacing w:after="120"/>
        <w:ind w:left="720" w:right="720"/>
        <w:rPr>
          <w:b/>
          <w:color w:val="000000"/>
        </w:rPr>
      </w:pPr>
      <w:r>
        <w:rPr>
          <w:b/>
          <w:color w:val="000000"/>
        </w:rPr>
        <w:t>Registrar</w:t>
      </w:r>
      <w:r w:rsidR="00714997">
        <w:rPr>
          <w:b/>
          <w:color w:val="000000"/>
        </w:rPr>
        <w:tab/>
        <w:t>Date</w:t>
      </w:r>
    </w:p>
    <w:sectPr w:rsidR="00714997" w:rsidRPr="001C756B" w:rsidSect="00714997">
      <w:footerReference w:type="even" r:id="rId7"/>
      <w:footerReference w:type="default" r:id="rId8"/>
      <w:pgSz w:w="12240" w:h="15840"/>
      <w:pgMar w:top="1152" w:right="864" w:bottom="1008" w:left="1152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4C" w:rsidRDefault="0097304C">
      <w:r>
        <w:separator/>
      </w:r>
    </w:p>
  </w:endnote>
  <w:endnote w:type="continuationSeparator" w:id="0">
    <w:p w:rsidR="0097304C" w:rsidRDefault="0097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2B" w:rsidRDefault="001617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6172B" w:rsidRDefault="00161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2B" w:rsidRDefault="0016172B" w:rsidP="00714997">
    <w:pPr>
      <w:pStyle w:val="Footer"/>
      <w:jc w:val="center"/>
      <w:rPr>
        <w:noProof/>
        <w:sz w:val="18"/>
      </w:rPr>
    </w:pPr>
  </w:p>
  <w:p w:rsidR="0016172B" w:rsidRPr="005F4274" w:rsidRDefault="0016172B" w:rsidP="00714997">
    <w:pPr>
      <w:pStyle w:val="Footer"/>
      <w:jc w:val="center"/>
      <w:rPr>
        <w:noProof/>
        <w:sz w:val="18"/>
      </w:rPr>
    </w:pPr>
    <w:r w:rsidRPr="005F4274">
      <w:rPr>
        <w:rStyle w:val="PageNumber"/>
        <w:sz w:val="18"/>
      </w:rPr>
      <w:t xml:space="preserve">Page </w:t>
    </w:r>
    <w:r w:rsidRPr="005F4274">
      <w:rPr>
        <w:rStyle w:val="PageNumber"/>
        <w:sz w:val="18"/>
      </w:rPr>
      <w:fldChar w:fldCharType="begin"/>
    </w:r>
    <w:r w:rsidRPr="005F4274">
      <w:rPr>
        <w:rStyle w:val="PageNumber"/>
        <w:sz w:val="18"/>
      </w:rPr>
      <w:instrText xml:space="preserve"> PAGE </w:instrText>
    </w:r>
    <w:r w:rsidRPr="005F4274">
      <w:rPr>
        <w:rStyle w:val="PageNumber"/>
        <w:sz w:val="18"/>
      </w:rPr>
      <w:fldChar w:fldCharType="separate"/>
    </w:r>
    <w:r w:rsidR="000B0396">
      <w:rPr>
        <w:rStyle w:val="PageNumber"/>
        <w:noProof/>
        <w:sz w:val="18"/>
      </w:rPr>
      <w:t>3</w:t>
    </w:r>
    <w:r w:rsidRPr="005F4274">
      <w:rPr>
        <w:rStyle w:val="PageNumber"/>
        <w:sz w:val="18"/>
      </w:rPr>
      <w:fldChar w:fldCharType="end"/>
    </w:r>
    <w:r w:rsidRPr="005F4274">
      <w:rPr>
        <w:rStyle w:val="PageNumber"/>
        <w:sz w:val="18"/>
      </w:rPr>
      <w:t xml:space="preserve"> of </w:t>
    </w:r>
    <w:r w:rsidRPr="005F4274">
      <w:rPr>
        <w:rStyle w:val="PageNumber"/>
        <w:sz w:val="18"/>
      </w:rPr>
      <w:fldChar w:fldCharType="begin"/>
    </w:r>
    <w:r w:rsidRPr="005F4274">
      <w:rPr>
        <w:rStyle w:val="PageNumber"/>
        <w:sz w:val="18"/>
      </w:rPr>
      <w:instrText xml:space="preserve"> NUMPAGES </w:instrText>
    </w:r>
    <w:r w:rsidRPr="005F4274">
      <w:rPr>
        <w:rStyle w:val="PageNumber"/>
        <w:sz w:val="18"/>
      </w:rPr>
      <w:fldChar w:fldCharType="separate"/>
    </w:r>
    <w:r w:rsidR="000B0396">
      <w:rPr>
        <w:rStyle w:val="PageNumber"/>
        <w:noProof/>
        <w:sz w:val="18"/>
      </w:rPr>
      <w:t>3</w:t>
    </w:r>
    <w:r w:rsidRPr="005F4274">
      <w:rPr>
        <w:rStyle w:val="PageNumber"/>
        <w:sz w:val="18"/>
      </w:rPr>
      <w:fldChar w:fldCharType="end"/>
    </w:r>
  </w:p>
  <w:p w:rsidR="0016172B" w:rsidRPr="00D331B9" w:rsidRDefault="00F1125A" w:rsidP="00E26159">
    <w:pPr>
      <w:pStyle w:val="Footer"/>
      <w:jc w:val="center"/>
      <w:rPr>
        <w:noProof/>
        <w:sz w:val="18"/>
        <w:lang w:val="en-US"/>
      </w:rPr>
    </w:pPr>
    <w:r>
      <w:rPr>
        <w:noProof/>
        <w:sz w:val="18"/>
      </w:rPr>
      <w:t xml:space="preserve"> </w:t>
    </w:r>
  </w:p>
  <w:p w:rsidR="0016172B" w:rsidRDefault="00161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4C" w:rsidRDefault="0097304C">
      <w:r>
        <w:separator/>
      </w:r>
    </w:p>
  </w:footnote>
  <w:footnote w:type="continuationSeparator" w:id="0">
    <w:p w:rsidR="0097304C" w:rsidRDefault="0097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BAB5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1D1C"/>
    <w:multiLevelType w:val="hybridMultilevel"/>
    <w:tmpl w:val="37680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06986A">
      <w:start w:val="1"/>
      <w:numFmt w:val="lowerLetter"/>
      <w:lvlText w:val="(%2)"/>
      <w:lvlJc w:val="left"/>
      <w:pPr>
        <w:ind w:left="1520" w:hanging="4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2BD2"/>
    <w:multiLevelType w:val="hybridMultilevel"/>
    <w:tmpl w:val="C254B008"/>
    <w:lvl w:ilvl="0" w:tplc="F9085F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771E8"/>
    <w:multiLevelType w:val="hybridMultilevel"/>
    <w:tmpl w:val="937A1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85599"/>
    <w:multiLevelType w:val="hybridMultilevel"/>
    <w:tmpl w:val="271A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63670"/>
    <w:multiLevelType w:val="hybridMultilevel"/>
    <w:tmpl w:val="B63A70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D17AE7"/>
    <w:multiLevelType w:val="hybridMultilevel"/>
    <w:tmpl w:val="0694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B4977"/>
    <w:multiLevelType w:val="hybridMultilevel"/>
    <w:tmpl w:val="36D4E2DC"/>
    <w:lvl w:ilvl="0" w:tplc="36C8F0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7"/>
    <w:rsid w:val="000B0396"/>
    <w:rsid w:val="0016172B"/>
    <w:rsid w:val="001B5FEA"/>
    <w:rsid w:val="00200822"/>
    <w:rsid w:val="00272C63"/>
    <w:rsid w:val="00383651"/>
    <w:rsid w:val="00493F7E"/>
    <w:rsid w:val="004B3367"/>
    <w:rsid w:val="004D3A45"/>
    <w:rsid w:val="00714997"/>
    <w:rsid w:val="0073397D"/>
    <w:rsid w:val="00744E80"/>
    <w:rsid w:val="00870FEF"/>
    <w:rsid w:val="00897302"/>
    <w:rsid w:val="008E057A"/>
    <w:rsid w:val="0097304C"/>
    <w:rsid w:val="009A104A"/>
    <w:rsid w:val="009E62BA"/>
    <w:rsid w:val="00A03163"/>
    <w:rsid w:val="00CB03F9"/>
    <w:rsid w:val="00CD7CDA"/>
    <w:rsid w:val="00D331B9"/>
    <w:rsid w:val="00DA3562"/>
    <w:rsid w:val="00E26159"/>
    <w:rsid w:val="00F10771"/>
    <w:rsid w:val="00F1125A"/>
    <w:rsid w:val="00FD57B5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1C5295A-5DA8-4DD7-ABC8-0A0414B2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DAC"/>
    <w:pPr>
      <w:spacing w:after="300" w:line="336" w:lineRule="atLeast"/>
      <w:ind w:left="300" w:right="300"/>
    </w:pPr>
    <w:rPr>
      <w:sz w:val="29"/>
      <w:szCs w:val="29"/>
    </w:rPr>
  </w:style>
  <w:style w:type="paragraph" w:customStyle="1" w:styleId="ColorfulList-Accent11">
    <w:name w:val="Colorful List - Accent 11"/>
    <w:basedOn w:val="Normal"/>
    <w:uiPriority w:val="34"/>
    <w:qFormat/>
    <w:rsid w:val="00C02C45"/>
    <w:pPr>
      <w:ind w:left="720"/>
    </w:pPr>
  </w:style>
  <w:style w:type="paragraph" w:styleId="Header">
    <w:name w:val="header"/>
    <w:basedOn w:val="Normal"/>
    <w:rsid w:val="00951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51C4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890B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71967"/>
    <w:rPr>
      <w:sz w:val="24"/>
      <w:szCs w:val="24"/>
    </w:rPr>
  </w:style>
  <w:style w:type="character" w:styleId="CommentReference">
    <w:name w:val="annotation reference"/>
    <w:rsid w:val="00E10A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0A91"/>
  </w:style>
  <w:style w:type="paragraph" w:styleId="CommentSubject">
    <w:name w:val="annotation subject"/>
    <w:basedOn w:val="CommentText"/>
    <w:next w:val="CommentText"/>
    <w:link w:val="CommentSubjectChar"/>
    <w:rsid w:val="00E10A9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10A91"/>
    <w:rPr>
      <w:b/>
      <w:bCs/>
    </w:rPr>
  </w:style>
  <w:style w:type="character" w:styleId="PageNumber">
    <w:name w:val="page number"/>
    <w:basedOn w:val="DefaultParagraphFont"/>
    <w:rsid w:val="005F4274"/>
  </w:style>
  <w:style w:type="paragraph" w:styleId="Revision">
    <w:name w:val="Revision"/>
    <w:hidden/>
    <w:uiPriority w:val="99"/>
    <w:semiHidden/>
    <w:rsid w:val="008E05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93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8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MTA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Arey, Jonathan A.</dc:creator>
  <cp:keywords/>
  <cp:lastModifiedBy>Trish Hendren</cp:lastModifiedBy>
  <cp:revision>2</cp:revision>
  <cp:lastPrinted>2017-05-19T14:31:00Z</cp:lastPrinted>
  <dcterms:created xsi:type="dcterms:W3CDTF">2017-05-19T14:32:00Z</dcterms:created>
  <dcterms:modified xsi:type="dcterms:W3CDTF">2017-05-19T14:32:00Z</dcterms:modified>
</cp:coreProperties>
</file>