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66F" w:rsidRPr="002301CD" w:rsidRDefault="0020366F">
      <w:pPr>
        <w:pStyle w:val="NormalFSI"/>
        <w:ind w:left="720"/>
        <w:rPr>
          <w:rFonts w:ascii="Times New Roman" w:hAnsi="Times New Roman"/>
          <w:sz w:val="24"/>
        </w:rPr>
      </w:pPr>
      <w:bookmarkStart w:id="0" w:name="_GoBack"/>
      <w:bookmarkEnd w:id="0"/>
    </w:p>
    <w:p w:rsidR="00123D2C" w:rsidRPr="002301CD" w:rsidRDefault="00123D2C">
      <w:pPr>
        <w:pStyle w:val="NormalFSI"/>
        <w:ind w:left="720"/>
        <w:rPr>
          <w:rFonts w:ascii="Times New Roman" w:hAnsi="Times New Roman"/>
          <w:sz w:val="24"/>
        </w:rPr>
        <w:sectPr w:rsidR="00123D2C" w:rsidRPr="002301CD">
          <w:headerReference w:type="default" r:id="rId7"/>
          <w:footerReference w:type="default" r:id="rId8"/>
          <w:pgSz w:w="12240" w:h="15840" w:code="1"/>
          <w:pgMar w:top="1440" w:right="1440" w:bottom="360" w:left="1440" w:header="720" w:footer="720" w:gutter="0"/>
          <w:cols w:space="720"/>
        </w:sectPr>
      </w:pPr>
    </w:p>
    <w:p w:rsidR="00575A1B" w:rsidRDefault="00575A1B" w:rsidP="00123D2C">
      <w:pPr>
        <w:rPr>
          <w:rFonts w:ascii="Times New Roman" w:hAnsi="Times New Roman"/>
        </w:rPr>
      </w:pPr>
    </w:p>
    <w:p w:rsidR="00575A1B" w:rsidRDefault="00575A1B" w:rsidP="00123D2C">
      <w:pPr>
        <w:rPr>
          <w:rFonts w:ascii="Times New Roman" w:hAnsi="Times New Roman"/>
        </w:rPr>
      </w:pPr>
    </w:p>
    <w:p w:rsidR="00575A1B" w:rsidRDefault="00575A1B" w:rsidP="00123D2C">
      <w:pPr>
        <w:rPr>
          <w:rFonts w:ascii="Times New Roman" w:hAnsi="Times New Roman"/>
        </w:rPr>
      </w:pPr>
    </w:p>
    <w:p w:rsidR="00575A1B" w:rsidRDefault="00575A1B" w:rsidP="00123D2C">
      <w:pPr>
        <w:rPr>
          <w:rFonts w:ascii="Times New Roman" w:hAnsi="Times New Roman"/>
        </w:rPr>
      </w:pPr>
    </w:p>
    <w:p w:rsidR="00123D2C" w:rsidRPr="002301CD" w:rsidRDefault="00123D2C" w:rsidP="00123D2C">
      <w:pPr>
        <w:rPr>
          <w:rFonts w:ascii="Times New Roman" w:hAnsi="Times New Roman"/>
        </w:rPr>
      </w:pPr>
      <w:r w:rsidRPr="002301CD">
        <w:rPr>
          <w:rFonts w:ascii="Times New Roman" w:hAnsi="Times New Roman"/>
        </w:rPr>
        <w:t>In 2002</w:t>
      </w:r>
      <w:r w:rsidR="004120F2" w:rsidRPr="002301CD">
        <w:rPr>
          <w:rFonts w:ascii="Times New Roman" w:hAnsi="Times New Roman"/>
        </w:rPr>
        <w:t>,</w:t>
      </w:r>
      <w:r w:rsidRPr="002301CD">
        <w:rPr>
          <w:rFonts w:ascii="Times New Roman" w:hAnsi="Times New Roman"/>
        </w:rPr>
        <w:t xml:space="preserve"> there were 42,850 persons killed in traffic crashes and 2,814 million were injured.   Statistics estimate that 15 to 30+ percent of the crashes on freeways are secondary to other incidents.  Therefore, it is essential to move minor incidents—even minor crashes—from the roadway as quickly as possible to reduce the possibility of secondary incidents.  </w:t>
      </w:r>
    </w:p>
    <w:p w:rsidR="00FF3841" w:rsidRPr="002301CD" w:rsidRDefault="00123D2C" w:rsidP="00FF3841">
      <w:pPr>
        <w:pStyle w:val="NormalFSI"/>
        <w:rPr>
          <w:rFonts w:ascii="Times New Roman" w:hAnsi="Times New Roman"/>
        </w:rPr>
      </w:pPr>
      <w:r w:rsidRPr="002301CD">
        <w:rPr>
          <w:rFonts w:ascii="Times New Roman" w:hAnsi="Times New Roman"/>
        </w:rPr>
        <w:t>Many states have enacted “move-it” laws that encourage, or even require, drivers to move their vehicles off the roadway if involved in a non-injury crash.  Despite these laws and as a result of previous training, most drivers still assume they should not move their vehicle</w:t>
      </w:r>
      <w:r w:rsidR="00ED5A1D" w:rsidRPr="002301CD">
        <w:rPr>
          <w:rFonts w:ascii="Times New Roman" w:hAnsi="Times New Roman"/>
        </w:rPr>
        <w:t>s</w:t>
      </w:r>
      <w:r w:rsidRPr="002301CD">
        <w:rPr>
          <w:rFonts w:ascii="Times New Roman" w:hAnsi="Times New Roman"/>
        </w:rPr>
        <w:t xml:space="preserve"> until officials arrive at the scene.  </w:t>
      </w:r>
      <w:r w:rsidR="00303A87" w:rsidRPr="002301CD">
        <w:rPr>
          <w:rFonts w:ascii="Times New Roman" w:hAnsi="Times New Roman"/>
        </w:rPr>
        <w:t>And w</w:t>
      </w:r>
      <w:r w:rsidR="00FF3841" w:rsidRPr="002301CD">
        <w:rPr>
          <w:rFonts w:ascii="Times New Roman" w:hAnsi="Times New Roman"/>
        </w:rPr>
        <w:t xml:space="preserve">ith different practices in effect from state-to-state, inter-regional and interstate travelers are usually unfamiliar with each state’s policies and as a result </w:t>
      </w:r>
      <w:r w:rsidR="00836E7B" w:rsidRPr="002301CD">
        <w:rPr>
          <w:rFonts w:ascii="Times New Roman" w:hAnsi="Times New Roman"/>
        </w:rPr>
        <w:t>are</w:t>
      </w:r>
      <w:r w:rsidR="00FF3841" w:rsidRPr="002301CD">
        <w:rPr>
          <w:rFonts w:ascii="Times New Roman" w:hAnsi="Times New Roman"/>
        </w:rPr>
        <w:t xml:space="preserve"> hesitant to quickly move their vehicles in the event of a crash or a less severe disablement. </w:t>
      </w:r>
    </w:p>
    <w:p w:rsidR="00732859" w:rsidRPr="002301CD" w:rsidRDefault="00732859" w:rsidP="00732859">
      <w:pPr>
        <w:rPr>
          <w:rFonts w:ascii="Times New Roman" w:hAnsi="Times New Roman"/>
        </w:rPr>
      </w:pPr>
    </w:p>
    <w:p w:rsidR="00732859" w:rsidRPr="00E929F9" w:rsidRDefault="00ED5A1D" w:rsidP="00732859">
      <w:pPr>
        <w:rPr>
          <w:rStyle w:val="Hyperlink"/>
          <w:rFonts w:ascii="Times New Roman" w:hAnsi="Times New Roman"/>
        </w:rPr>
      </w:pPr>
      <w:r w:rsidRPr="002301CD">
        <w:rPr>
          <w:rFonts w:ascii="Times New Roman" w:hAnsi="Times New Roman"/>
        </w:rPr>
        <w:t>The I-95 Corridor Coalition</w:t>
      </w:r>
      <w:r w:rsidR="00836E7B" w:rsidRPr="002301CD">
        <w:rPr>
          <w:rFonts w:ascii="Times New Roman" w:hAnsi="Times New Roman"/>
        </w:rPr>
        <w:t xml:space="preserve"> Members</w:t>
      </w:r>
      <w:r w:rsidRPr="002301CD">
        <w:rPr>
          <w:rFonts w:ascii="Times New Roman" w:hAnsi="Times New Roman"/>
        </w:rPr>
        <w:t xml:space="preserve"> recognized the need to address these issues and strive to achieve a more consistent application of </w:t>
      </w:r>
      <w:r w:rsidR="00FF3841" w:rsidRPr="002301CD">
        <w:rPr>
          <w:rFonts w:ascii="Times New Roman" w:hAnsi="Times New Roman"/>
        </w:rPr>
        <w:t>Q</w:t>
      </w:r>
      <w:r w:rsidRPr="002301CD">
        <w:rPr>
          <w:rFonts w:ascii="Times New Roman" w:hAnsi="Times New Roman"/>
        </w:rPr>
        <w:t xml:space="preserve">uick </w:t>
      </w:r>
      <w:r w:rsidR="00FF3841" w:rsidRPr="002301CD">
        <w:rPr>
          <w:rFonts w:ascii="Times New Roman" w:hAnsi="Times New Roman"/>
        </w:rPr>
        <w:t>Clearance/M</w:t>
      </w:r>
      <w:r w:rsidRPr="002301CD">
        <w:rPr>
          <w:rFonts w:ascii="Times New Roman" w:hAnsi="Times New Roman"/>
        </w:rPr>
        <w:t>ove-</w:t>
      </w:r>
      <w:r w:rsidR="00FF3841" w:rsidRPr="002301CD">
        <w:rPr>
          <w:rFonts w:ascii="Times New Roman" w:hAnsi="Times New Roman"/>
        </w:rPr>
        <w:t>I</w:t>
      </w:r>
      <w:r w:rsidRPr="002301CD">
        <w:rPr>
          <w:rFonts w:ascii="Times New Roman" w:hAnsi="Times New Roman"/>
        </w:rPr>
        <w:t>t (QC/MI) practices throughout the Corridor.</w:t>
      </w:r>
      <w:r w:rsidR="00FF3841" w:rsidRPr="002301CD">
        <w:rPr>
          <w:rFonts w:ascii="Times New Roman" w:hAnsi="Times New Roman"/>
        </w:rPr>
        <w:t xml:space="preserve">   The Coalition’s Quick Clearance Project reported on the state of QC/MI initiatives in each </w:t>
      </w:r>
      <w:smartTag w:uri="urn:schemas-microsoft-com:office:smarttags" w:element="place">
        <w:smartTag w:uri="urn:schemas-microsoft-com:office:smarttags" w:element="PlaceName">
          <w:r w:rsidR="00FF3841" w:rsidRPr="002301CD">
            <w:rPr>
              <w:rFonts w:ascii="Times New Roman" w:hAnsi="Times New Roman"/>
            </w:rPr>
            <w:t>Member</w:t>
          </w:r>
        </w:smartTag>
        <w:r w:rsidR="00FF3841" w:rsidRPr="002301CD">
          <w:rPr>
            <w:rFonts w:ascii="Times New Roman" w:hAnsi="Times New Roman"/>
          </w:rPr>
          <w:t xml:space="preserve"> </w:t>
        </w:r>
        <w:smartTag w:uri="urn:schemas-microsoft-com:office:smarttags" w:element="PlaceType">
          <w:r w:rsidR="00FF3841" w:rsidRPr="002301CD">
            <w:rPr>
              <w:rFonts w:ascii="Times New Roman" w:hAnsi="Times New Roman"/>
            </w:rPr>
            <w:t>State</w:t>
          </w:r>
        </w:smartTag>
      </w:smartTag>
      <w:r w:rsidR="00FF3841" w:rsidRPr="002301CD">
        <w:rPr>
          <w:rFonts w:ascii="Times New Roman" w:hAnsi="Times New Roman"/>
        </w:rPr>
        <w:t xml:space="preserve"> and highlighted Best Practices for consideration.  </w:t>
      </w:r>
      <w:r w:rsidR="00732859" w:rsidRPr="002301CD">
        <w:rPr>
          <w:rFonts w:ascii="Times New Roman" w:hAnsi="Times New Roman"/>
        </w:rPr>
        <w:t xml:space="preserve">The full </w:t>
      </w:r>
      <w:r w:rsidR="00A728F0">
        <w:rPr>
          <w:rFonts w:ascii="Times New Roman" w:hAnsi="Times New Roman"/>
        </w:rPr>
        <w:t>20</w:t>
      </w:r>
      <w:r w:rsidR="00732859" w:rsidRPr="002301CD">
        <w:rPr>
          <w:rFonts w:ascii="Times New Roman" w:hAnsi="Times New Roman"/>
        </w:rPr>
        <w:t xml:space="preserve">0+ page Quick Clearance Report is available on the Coalition’s website at: </w:t>
      </w:r>
      <w:r w:rsidR="00E929F9">
        <w:rPr>
          <w:rFonts w:ascii="Times New Roman" w:hAnsi="Times New Roman"/>
        </w:rPr>
        <w:t xml:space="preserve">  </w:t>
      </w:r>
      <w:hyperlink r:id="rId9" w:history="1">
        <w:r w:rsidR="00E929F9" w:rsidRPr="00E929F9">
          <w:rPr>
            <w:rStyle w:val="Hyperlink"/>
            <w:rFonts w:ascii="Times New Roman" w:hAnsi="Times New Roman"/>
          </w:rPr>
          <w:t>http://66.167.232.132/pm/ViewProject.asp?pid=128</w:t>
        </w:r>
      </w:hyperlink>
    </w:p>
    <w:p w:rsidR="00E929F9" w:rsidRDefault="00E929F9" w:rsidP="00A728F0">
      <w:pPr>
        <w:rPr>
          <w:rFonts w:ascii="Times New Roman" w:hAnsi="Times New Roman"/>
        </w:rPr>
      </w:pPr>
    </w:p>
    <w:p w:rsidR="00A728F0" w:rsidRPr="00A728F0" w:rsidRDefault="00A728F0" w:rsidP="00A728F0">
      <w:pPr>
        <w:rPr>
          <w:rFonts w:ascii="Times New Roman" w:hAnsi="Times New Roman"/>
          <w:bCs/>
        </w:rPr>
      </w:pPr>
      <w:r w:rsidRPr="00A728F0">
        <w:rPr>
          <w:rFonts w:ascii="Times New Roman" w:hAnsi="Times New Roman"/>
        </w:rPr>
        <w:t>T</w:t>
      </w:r>
      <w:r w:rsidR="00FF3841" w:rsidRPr="00A728F0">
        <w:rPr>
          <w:rFonts w:ascii="Times New Roman" w:hAnsi="Times New Roman"/>
        </w:rPr>
        <w:t xml:space="preserve">he Coalition also </w:t>
      </w:r>
      <w:r w:rsidR="00836E7B" w:rsidRPr="00A728F0">
        <w:rPr>
          <w:rFonts w:ascii="Times New Roman" w:hAnsi="Times New Roman"/>
        </w:rPr>
        <w:t>distributed</w:t>
      </w:r>
      <w:r w:rsidR="00FF3841" w:rsidRPr="00A728F0">
        <w:rPr>
          <w:rFonts w:ascii="Times New Roman" w:hAnsi="Times New Roman"/>
        </w:rPr>
        <w:t xml:space="preserve"> a</w:t>
      </w:r>
      <w:r w:rsidR="00732859" w:rsidRPr="00A728F0">
        <w:rPr>
          <w:rFonts w:ascii="Times New Roman" w:hAnsi="Times New Roman"/>
        </w:rPr>
        <w:t xml:space="preserve">n </w:t>
      </w:r>
      <w:r w:rsidR="00123D2C" w:rsidRPr="00A728F0">
        <w:rPr>
          <w:rFonts w:ascii="Times New Roman" w:hAnsi="Times New Roman"/>
        </w:rPr>
        <w:t xml:space="preserve">Executive Summary </w:t>
      </w:r>
      <w:r w:rsidR="00732859" w:rsidRPr="00A728F0">
        <w:rPr>
          <w:rFonts w:ascii="Times New Roman" w:hAnsi="Times New Roman"/>
        </w:rPr>
        <w:t xml:space="preserve">of the full QC/MI Report which includes </w:t>
      </w:r>
      <w:r w:rsidR="00123D2C" w:rsidRPr="00A728F0">
        <w:rPr>
          <w:rFonts w:ascii="Times New Roman" w:hAnsi="Times New Roman"/>
        </w:rPr>
        <w:t xml:space="preserve">guidance for enacting quick clearance legislation and educating motorists of this important safety practice.  </w:t>
      </w:r>
      <w:r w:rsidR="00732859" w:rsidRPr="00A728F0">
        <w:rPr>
          <w:rFonts w:ascii="Times New Roman" w:hAnsi="Times New Roman"/>
        </w:rPr>
        <w:t>As</w:t>
      </w:r>
      <w:r w:rsidR="00303A87" w:rsidRPr="00A728F0">
        <w:rPr>
          <w:rFonts w:ascii="Times New Roman" w:hAnsi="Times New Roman"/>
        </w:rPr>
        <w:t xml:space="preserve"> further assistance to its</w:t>
      </w:r>
      <w:r w:rsidR="00732859" w:rsidRPr="00A728F0">
        <w:rPr>
          <w:rFonts w:ascii="Times New Roman" w:hAnsi="Times New Roman"/>
        </w:rPr>
        <w:t xml:space="preserve"> Members, </w:t>
      </w:r>
      <w:r w:rsidR="00123D2C" w:rsidRPr="00A728F0">
        <w:rPr>
          <w:rFonts w:ascii="Times New Roman" w:hAnsi="Times New Roman"/>
        </w:rPr>
        <w:t xml:space="preserve">the Coalition has </w:t>
      </w:r>
      <w:r w:rsidRPr="00A728F0">
        <w:rPr>
          <w:rFonts w:ascii="Times New Roman" w:hAnsi="Times New Roman"/>
        </w:rPr>
        <w:t xml:space="preserve">developed a Quick Clearance Toolkit to help in </w:t>
      </w:r>
      <w:proofErr w:type="gramStart"/>
      <w:r w:rsidRPr="00A728F0">
        <w:rPr>
          <w:rFonts w:ascii="Times New Roman" w:hAnsi="Times New Roman"/>
        </w:rPr>
        <w:t>initiating</w:t>
      </w:r>
      <w:proofErr w:type="gramEnd"/>
      <w:r w:rsidRPr="00A728F0">
        <w:rPr>
          <w:rFonts w:ascii="Times New Roman" w:hAnsi="Times New Roman"/>
        </w:rPr>
        <w:t xml:space="preserve"> or improving Quick Clearance programs and activities in jurisdictions.  This </w:t>
      </w:r>
      <w:r w:rsidRPr="00A728F0">
        <w:rPr>
          <w:rFonts w:ascii="Times New Roman" w:hAnsi="Times New Roman"/>
          <w:bCs/>
        </w:rPr>
        <w:t>easy-to-use, “A-Z” quick clearance implementation guide includes:</w:t>
      </w:r>
    </w:p>
    <w:p w:rsidR="00A728F0" w:rsidRPr="00A728F0" w:rsidRDefault="00A728F0" w:rsidP="00A728F0">
      <w:pPr>
        <w:numPr>
          <w:ilvl w:val="0"/>
          <w:numId w:val="17"/>
        </w:numPr>
        <w:spacing w:before="100" w:beforeAutospacing="1" w:after="100" w:afterAutospacing="1"/>
        <w:rPr>
          <w:rFonts w:ascii="Times New Roman" w:hAnsi="Times New Roman"/>
          <w:bCs/>
        </w:rPr>
      </w:pPr>
      <w:r w:rsidRPr="00A728F0">
        <w:rPr>
          <w:rFonts w:ascii="Times New Roman" w:hAnsi="Times New Roman"/>
          <w:bCs/>
        </w:rPr>
        <w:t>Statutory/Regulatory/Policy Best Practices including exemplar Quick Clearance and Move It Legislation and Open Roads Policies; Service patrols utilization benefits; interagency communications requirements; innovative programs for towing and wrecker services to expedite incident clearing; and prospective certification of responders;</w:t>
      </w:r>
    </w:p>
    <w:p w:rsidR="00A728F0" w:rsidRPr="00A728F0" w:rsidRDefault="00A728F0" w:rsidP="00A728F0">
      <w:pPr>
        <w:numPr>
          <w:ilvl w:val="0"/>
          <w:numId w:val="17"/>
        </w:numPr>
        <w:spacing w:before="100" w:beforeAutospacing="1" w:after="100" w:afterAutospacing="1"/>
        <w:rPr>
          <w:rFonts w:ascii="Times New Roman" w:hAnsi="Times New Roman"/>
          <w:bCs/>
        </w:rPr>
      </w:pPr>
      <w:r w:rsidRPr="00A728F0">
        <w:rPr>
          <w:rFonts w:ascii="Times New Roman" w:hAnsi="Times New Roman"/>
          <w:bCs/>
        </w:rPr>
        <w:t>Administrative Best Practices such as multi-agency traffic incident management teams; inter-agency standards, training and certification; technology and inter-agency communications; and incentive reward programs; and</w:t>
      </w:r>
    </w:p>
    <w:p w:rsidR="00A728F0" w:rsidRPr="00A728F0" w:rsidRDefault="00A728F0" w:rsidP="00A728F0">
      <w:pPr>
        <w:numPr>
          <w:ilvl w:val="0"/>
          <w:numId w:val="17"/>
        </w:numPr>
        <w:spacing w:before="100" w:beforeAutospacing="1" w:after="100" w:afterAutospacing="1"/>
        <w:rPr>
          <w:rFonts w:ascii="Times New Roman" w:hAnsi="Times New Roman"/>
          <w:bCs/>
        </w:rPr>
      </w:pPr>
      <w:r w:rsidRPr="00A728F0">
        <w:rPr>
          <w:rFonts w:ascii="Times New Roman" w:hAnsi="Times New Roman"/>
          <w:bCs/>
        </w:rPr>
        <w:t>Operational Best Practices such as technologies and procedures for incident detection, verification, notification, response, clearance, traveler information, and post-incident debriefings.</w:t>
      </w:r>
    </w:p>
    <w:p w:rsidR="00681E0F" w:rsidRDefault="00681E0F" w:rsidP="00681E0F">
      <w:pPr>
        <w:pStyle w:val="ListDash1"/>
        <w:numPr>
          <w:ilvl w:val="0"/>
          <w:numId w:val="0"/>
        </w:numPr>
        <w:spacing w:after="0"/>
      </w:pPr>
    </w:p>
    <w:p w:rsidR="00ED5A1D" w:rsidRPr="002301CD" w:rsidRDefault="00A728F0" w:rsidP="00E929F9">
      <w:pPr>
        <w:pStyle w:val="ListDash1"/>
        <w:numPr>
          <w:ilvl w:val="0"/>
          <w:numId w:val="0"/>
        </w:numPr>
        <w:spacing w:after="0"/>
        <w:jc w:val="left"/>
      </w:pPr>
      <w:r w:rsidRPr="00A728F0">
        <w:t>Th</w:t>
      </w:r>
      <w:r>
        <w:t>e</w:t>
      </w:r>
      <w:r w:rsidRPr="00A728F0">
        <w:t xml:space="preserve"> Quick Clearance Implementation Toolkit is being presented during a series of Quick Clearance Implementation Best Practices Workshops being held throughout the Corridor.</w:t>
      </w:r>
      <w:r w:rsidR="009C25F1">
        <w:t xml:space="preserve">  The Toolkit contents can be found on the web at:</w:t>
      </w:r>
      <w:r w:rsidRPr="00A728F0">
        <w:t xml:space="preserve"> </w:t>
      </w:r>
      <w:hyperlink r:id="rId10" w:history="1">
        <w:r w:rsidR="009C25F1" w:rsidRPr="00653C34">
          <w:rPr>
            <w:rStyle w:val="Hyperlink"/>
            <w:rFonts w:ascii="Times New Roman" w:hAnsi="Times New Roman"/>
            <w:bCs/>
          </w:rPr>
          <w:t>http://www.i95coalition.org/quick-clearance-toolkit.html</w:t>
        </w:r>
      </w:hyperlink>
      <w:r w:rsidR="00E779BC">
        <w:t>.</w:t>
      </w:r>
      <w:r w:rsidR="00ED5A1D" w:rsidRPr="002301CD">
        <w:rPr>
          <w:noProof/>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2" type="#_x0000_t75" style="position:absolute;margin-left:401.25pt;margin-top:603.5pt;width:159.75pt;height:85.05pt;z-index:-1;mso-wrap-edited:f;mso-position-horizontal-relative:page;mso-position-vertical-relative:page" wrapcoords="-35 0 -35 21548 21600 21548 21600 0 -35 0" o:allowoverlap="f">
            <v:imagedata r:id="rId11" o:title="MVC-002F" croptop="11345f" cropbottom="7680f"/>
            <w10:wrap type="square" anchorx="page" anchory="page"/>
            <w10:anchorlock/>
          </v:shape>
        </w:pict>
      </w:r>
    </w:p>
    <w:sectPr w:rsidR="00ED5A1D" w:rsidRPr="002301CD" w:rsidSect="004227B0">
      <w:headerReference w:type="default" r:id="rId12"/>
      <w:footerReference w:type="default" r:id="rId13"/>
      <w:type w:val="continuous"/>
      <w:pgSz w:w="12240" w:h="15840" w:code="1"/>
      <w:pgMar w:top="1440" w:right="1440" w:bottom="81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D29" w:rsidRDefault="00DD6D29">
      <w:r>
        <w:separator/>
      </w:r>
    </w:p>
  </w:endnote>
  <w:endnote w:type="continuationSeparator" w:id="0">
    <w:p w:rsidR="00DD6D29" w:rsidRDefault="00DD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altName w:val="Times New Roman"/>
    <w:panose1 w:val="00000000000000000000"/>
    <w:charset w:val="00"/>
    <w:family w:val="roman"/>
    <w:notTrueType/>
    <w:pitch w:val="default"/>
  </w:font>
  <w:font w:name="Times">
    <w:panose1 w:val="02020603050405020304"/>
    <w:charset w:val="00"/>
    <w:family w:val="roman"/>
    <w:pitch w:val="variable"/>
    <w:sig w:usb0="20007A87" w:usb1="80000000" w:usb2="00000008" w:usb3="00000000" w:csb0="000001FF" w:csb1="00000000"/>
  </w:font>
  <w:font w:name="Swiss I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MT Extra Bold">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2F" w:rsidRDefault="00211229">
    <w:pPr>
      <w:pStyle w:val="Footer"/>
    </w:pPr>
    <w:r>
      <w:rPr>
        <w:noProof/>
        <w:sz w:val="20"/>
      </w:rPr>
      <w:pict>
        <v:shapetype id="_x0000_t202" coordsize="21600,21600" o:spt="202" path="m,l,21600r21600,l21600,xe">
          <v:stroke joinstyle="miter"/>
          <v:path gradientshapeok="t" o:connecttype="rect"/>
        </v:shapetype>
        <v:shape id="_x0000_s2057" type="#_x0000_t202" style="position:absolute;left:0;text-align:left;margin-left:-23pt;margin-top:-24.05pt;width:514.4pt;height:52.15pt;z-index:7" filled="f" stroked="f">
          <v:textbox style="mso-next-textbox:#_x0000_s2057">
            <w:txbxContent>
              <w:p w:rsidR="00E75095" w:rsidRPr="00211229" w:rsidRDefault="004227B0" w:rsidP="00081A22">
                <w:pPr>
                  <w:widowControl w:val="0"/>
                  <w:jc w:val="center"/>
                  <w:rPr>
                    <w:b/>
                    <w:sz w:val="24"/>
                    <w:szCs w:val="24"/>
                  </w:rPr>
                </w:pPr>
                <w:r w:rsidRPr="00211229">
                  <w:rPr>
                    <w:rFonts w:ascii="Times New Roman" w:hAnsi="Times New Roman"/>
                    <w:b/>
                    <w:i/>
                    <w:color w:val="0000FF"/>
                    <w:sz w:val="24"/>
                    <w:szCs w:val="24"/>
                  </w:rPr>
                  <w:t>For more information on the</w:t>
                </w:r>
                <w:r w:rsidR="00211229" w:rsidRPr="00211229">
                  <w:rPr>
                    <w:rFonts w:ascii="Times New Roman" w:hAnsi="Times New Roman"/>
                    <w:b/>
                    <w:i/>
                    <w:color w:val="0000FF"/>
                    <w:sz w:val="24"/>
                    <w:szCs w:val="24"/>
                  </w:rPr>
                  <w:t xml:space="preserve"> QC/Move-It</w:t>
                </w:r>
                <w:r w:rsidRPr="00211229">
                  <w:rPr>
                    <w:rFonts w:ascii="Times New Roman" w:hAnsi="Times New Roman"/>
                    <w:b/>
                    <w:i/>
                    <w:color w:val="0000FF"/>
                    <w:sz w:val="24"/>
                    <w:szCs w:val="24"/>
                  </w:rPr>
                  <w:t xml:space="preserve"> Project, contact </w:t>
                </w:r>
                <w:r w:rsidR="00211229" w:rsidRPr="00211229">
                  <w:rPr>
                    <w:rFonts w:ascii="Times New Roman" w:hAnsi="Times New Roman"/>
                    <w:b/>
                    <w:i/>
                    <w:color w:val="0000FF"/>
                    <w:sz w:val="24"/>
                    <w:szCs w:val="24"/>
                  </w:rPr>
                  <w:t>Capt. Henry de Vries</w:t>
                </w:r>
                <w:r w:rsidRPr="00211229">
                  <w:rPr>
                    <w:rFonts w:ascii="Times New Roman" w:hAnsi="Times New Roman"/>
                    <w:b/>
                    <w:i/>
                    <w:color w:val="0000FF"/>
                    <w:sz w:val="24"/>
                    <w:szCs w:val="24"/>
                  </w:rPr>
                  <w:t xml:space="preserve"> at </w:t>
                </w:r>
                <w:hyperlink r:id="rId1" w:history="1">
                  <w:r w:rsidR="00211229" w:rsidRPr="005C7B9F">
                    <w:rPr>
                      <w:rStyle w:val="Hyperlink"/>
                      <w:rFonts w:ascii="Times New Roman" w:hAnsi="Times New Roman"/>
                      <w:b/>
                      <w:i/>
                      <w:sz w:val="24"/>
                      <w:szCs w:val="24"/>
                      <w:u w:val="none"/>
                    </w:rPr>
                    <w:t>hdevries@dot.state.ny.us</w:t>
                  </w:r>
                </w:hyperlink>
                <w:r w:rsidR="00211229" w:rsidRPr="005C7B9F">
                  <w:rPr>
                    <w:rFonts w:ascii="Times New Roman" w:hAnsi="Times New Roman"/>
                    <w:b/>
                    <w:i/>
                    <w:color w:val="0000FF"/>
                    <w:sz w:val="24"/>
                    <w:szCs w:val="24"/>
                  </w:rPr>
                  <w:t xml:space="preserve"> </w:t>
                </w:r>
                <w:r w:rsidR="00211229" w:rsidRPr="00211229">
                  <w:rPr>
                    <w:rFonts w:ascii="Times New Roman" w:hAnsi="Times New Roman"/>
                    <w:b/>
                    <w:i/>
                    <w:color w:val="0000FF"/>
                    <w:sz w:val="24"/>
                    <w:szCs w:val="24"/>
                  </w:rPr>
                  <w:t>or</w:t>
                </w:r>
                <w:r w:rsidRPr="00211229">
                  <w:rPr>
                    <w:rFonts w:ascii="Times New Roman" w:hAnsi="Times New Roman"/>
                    <w:b/>
                    <w:i/>
                    <w:color w:val="0000FF"/>
                    <w:sz w:val="24"/>
                    <w:szCs w:val="24"/>
                  </w:rPr>
                  <w:t xml:space="preserve"> visit the C</w:t>
                </w:r>
                <w:r w:rsidR="00081A22" w:rsidRPr="00211229">
                  <w:rPr>
                    <w:rFonts w:ascii="Times New Roman" w:hAnsi="Times New Roman"/>
                    <w:b/>
                    <w:i/>
                    <w:color w:val="0000FF"/>
                    <w:sz w:val="24"/>
                    <w:szCs w:val="24"/>
                  </w:rPr>
                  <w:t>oalition</w:t>
                </w:r>
                <w:r w:rsidR="00D77374" w:rsidRPr="00211229">
                  <w:rPr>
                    <w:rFonts w:ascii="Times New Roman" w:hAnsi="Times New Roman"/>
                    <w:b/>
                    <w:i/>
                    <w:color w:val="0000FF"/>
                    <w:sz w:val="24"/>
                    <w:szCs w:val="24"/>
                  </w:rPr>
                  <w:t xml:space="preserve"> Connection</w:t>
                </w:r>
                <w:r w:rsidRPr="00211229">
                  <w:rPr>
                    <w:rFonts w:ascii="Times New Roman" w:hAnsi="Times New Roman"/>
                    <w:b/>
                    <w:i/>
                    <w:color w:val="0000FF"/>
                    <w:sz w:val="24"/>
                    <w:szCs w:val="24"/>
                  </w:rPr>
                  <w:t xml:space="preserve"> website at</w:t>
                </w:r>
                <w:r w:rsidR="00081A22" w:rsidRPr="00211229">
                  <w:rPr>
                    <w:rFonts w:ascii="Times New Roman" w:hAnsi="Times New Roman"/>
                    <w:b/>
                    <w:i/>
                    <w:color w:val="0000FF"/>
                    <w:sz w:val="24"/>
                    <w:szCs w:val="24"/>
                  </w:rPr>
                  <w:t xml:space="preserve"> www.i95coalition.org</w:t>
                </w:r>
              </w:p>
              <w:p w:rsidR="0045702F" w:rsidRPr="00081A22" w:rsidRDefault="0045702F" w:rsidP="00E75095">
                <w:pPr>
                  <w:rPr>
                    <w:sz w:val="28"/>
                    <w:szCs w:val="28"/>
                  </w:rPr>
                </w:pPr>
              </w:p>
            </w:txbxContent>
          </v:textbox>
        </v:shape>
      </w:pict>
    </w:r>
    <w:r w:rsidR="00081A22">
      <w:rPr>
        <w:noProof/>
        <w:sz w:val="20"/>
        <w:lang w:eastAsia="ko-KR"/>
      </w:rPr>
      <w:pict>
        <v:line id="_x0000_s2059" style="position:absolute;left:0;text-align:left;z-index:9" from="-45pt,-24.8pt" to="510pt,-24.8p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2F" w:rsidRDefault="0045702F">
    <w:pPr>
      <w:pStyle w:val="Footer"/>
    </w:pPr>
    <w:r>
      <w:rPr>
        <w:noProof/>
        <w:sz w:val="20"/>
      </w:rPr>
      <w:pict>
        <v:shapetype id="_x0000_t202" coordsize="21600,21600" o:spt="202" path="m,l,21600r21600,l21600,xe">
          <v:stroke joinstyle="miter"/>
          <v:path gradientshapeok="t" o:connecttype="rect"/>
        </v:shapetype>
        <v:shape id="_x0000_s2058" type="#_x0000_t202" style="position:absolute;left:0;text-align:left;margin-left:-44.25pt;margin-top:737.05pt;width:555.1pt;height:33.4pt;z-index:8;mso-position-vertical-relative:page" filled="f">
          <v:textbox style="mso-next-textbox:#_x0000_s2058">
            <w:txbxContent>
              <w:p w:rsidR="0045702F" w:rsidRDefault="0045702F">
                <w:pPr>
                  <w:jc w:val="center"/>
                  <w:rPr>
                    <w:b/>
                  </w:rPr>
                </w:pPr>
                <w:r>
                  <w:rPr>
                    <w:rFonts w:ascii="Times New Roman" w:hAnsi="Times New Roman"/>
                    <w:b/>
                    <w:i/>
                    <w:color w:val="0000FF"/>
                    <w:position w:val="200"/>
                    <w:sz w:val="44"/>
                  </w:rPr>
                  <w:t>www.i95coalition.org</w:t>
                </w:r>
              </w:p>
            </w:txbxContent>
          </v:textbox>
          <w10:wrap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D29" w:rsidRDefault="00DD6D29">
      <w:r>
        <w:separator/>
      </w:r>
    </w:p>
  </w:footnote>
  <w:footnote w:type="continuationSeparator" w:id="0">
    <w:p w:rsidR="00DD6D29" w:rsidRDefault="00DD6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2F" w:rsidRDefault="004227B0">
    <w:pPr>
      <w:pStyle w:val="Header"/>
    </w:pPr>
    <w:r>
      <w:rPr>
        <w:noProof/>
        <w:sz w:val="20"/>
      </w:rPr>
      <w:pict>
        <v:shapetype id="_x0000_t202" coordsize="21600,21600" o:spt="202" path="m,l,21600r21600,l21600,xe">
          <v:stroke joinstyle="miter"/>
          <v:path gradientshapeok="t" o:connecttype="rect"/>
        </v:shapetype>
        <v:shape id="_x0000_s2054" type="#_x0000_t202" style="position:absolute;left:0;text-align:left;margin-left:97.7pt;margin-top:66.6pt;width:380.1pt;height:36.2pt;z-index:5" stroked="f">
          <v:textbox style="mso-next-textbox:#_x0000_s2054">
            <w:txbxContent>
              <w:p w:rsidR="00ED5A1D" w:rsidRPr="004120F2" w:rsidRDefault="00303A87" w:rsidP="004120F2">
                <w:pPr>
                  <w:pStyle w:val="Heading1"/>
                  <w:jc w:val="left"/>
                  <w:rPr>
                    <w:color w:val="0000FF"/>
                    <w:szCs w:val="36"/>
                  </w:rPr>
                </w:pPr>
                <w:r w:rsidRPr="004120F2">
                  <w:rPr>
                    <w:rFonts w:ascii="Times New Roman" w:hAnsi="Times New Roman"/>
                    <w:i/>
                    <w:color w:val="0000FF"/>
                    <w:szCs w:val="36"/>
                  </w:rPr>
                  <w:t xml:space="preserve"> </w:t>
                </w:r>
                <w:r w:rsidR="004120F2" w:rsidRPr="004120F2">
                  <w:rPr>
                    <w:rFonts w:ascii="Times New Roman" w:hAnsi="Times New Roman"/>
                    <w:i/>
                    <w:color w:val="0000FF"/>
                    <w:szCs w:val="36"/>
                  </w:rPr>
                  <w:t>Quick Clearance and ‘</w:t>
                </w:r>
                <w:r w:rsidR="002F1C53" w:rsidRPr="004120F2">
                  <w:rPr>
                    <w:rFonts w:ascii="Times New Roman" w:hAnsi="Times New Roman"/>
                    <w:i/>
                    <w:color w:val="0000FF"/>
                    <w:szCs w:val="36"/>
                  </w:rPr>
                  <w:t>Move-It</w:t>
                </w:r>
                <w:r w:rsidR="004120F2" w:rsidRPr="004120F2">
                  <w:rPr>
                    <w:rFonts w:ascii="Times New Roman" w:hAnsi="Times New Roman"/>
                    <w:i/>
                    <w:color w:val="0000FF"/>
                    <w:szCs w:val="36"/>
                  </w:rPr>
                  <w:t>’ Best Practices</w:t>
                </w:r>
              </w:p>
            </w:txbxContent>
          </v:textbox>
        </v:shape>
      </w:pict>
    </w:r>
    <w:r w:rsidR="0045702F">
      <w:rPr>
        <w:noProof/>
        <w:sz w:val="20"/>
      </w:rPr>
      <w:pict>
        <v:line id="_x0000_s2055" style="position:absolute;left:0;text-align:left;z-index:6" from="108.35pt,63.65pt" to="476.55pt,63.65pt" strokeweight="4.5pt">
          <v:stroke linestyle="thickThin"/>
        </v:line>
      </w:pict>
    </w:r>
    <w:r w:rsidR="0045702F">
      <w:rPr>
        <w:noProof/>
        <w:sz w:val="20"/>
      </w:rPr>
      <w:pict>
        <v:shape id="_x0000_s2053" type="#_x0000_t202" style="position:absolute;left:0;text-align:left;margin-left:99pt;margin-top:19.1pt;width:408.5pt;height:43.1pt;z-index:4" stroked="f">
          <v:textbox style="mso-next-textbox:#_x0000_s2053">
            <w:txbxContent>
              <w:p w:rsidR="0045702F" w:rsidRDefault="0045702F">
                <w:pPr>
                  <w:pStyle w:val="Heading6"/>
                  <w:rPr>
                    <w:rFonts w:ascii="Times New Roman MT Extra Bold" w:hAnsi="Times New Roman MT Extra Bold"/>
                    <w:b/>
                    <w:bCs/>
                    <w:i w:val="0"/>
                    <w:iCs w:val="0"/>
                    <w:sz w:val="72"/>
                  </w:rPr>
                </w:pPr>
                <w:r>
                  <w:rPr>
                    <w:rFonts w:ascii="Times New Roman MT Extra Bold" w:hAnsi="Times New Roman MT Extra Bold"/>
                    <w:b/>
                    <w:bCs/>
                    <w:i w:val="0"/>
                    <w:iCs w:val="0"/>
                    <w:sz w:val="72"/>
                  </w:rPr>
                  <w:t>I-95 Corridor Coalition</w:t>
                </w:r>
              </w:p>
            </w:txbxContent>
          </v:textbox>
        </v:shape>
      </w:pict>
    </w:r>
    <w:r w:rsidR="0045702F">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4.4pt;width:89.3pt;height:92.6pt;z-index:2">
          <v:imagedata r:id="rId1" o:title=""/>
          <w10:wrap type="topAndBottom"/>
        </v:shape>
        <o:OLEObject Type="Embed" ProgID="CorelPhotoPaint.Image.10" ShapeID="_x0000_s2050" DrawAspect="Content" ObjectID="_1486991824" r:id="rId2"/>
      </w:pict>
    </w:r>
    <w:r w:rsidR="0045702F">
      <w:rPr>
        <w:noProof/>
        <w:sz w:val="20"/>
      </w:rPr>
      <w:pict>
        <v:rect id="_x0000_s2049" style="position:absolute;left:0;text-align:left;margin-left:-44.4pt;margin-top:-11.5pt;width:555.1pt;height:745.7pt;z-index:1"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2F" w:rsidRDefault="0045702F">
    <w:pPr>
      <w:pStyle w:val="Header"/>
    </w:pPr>
    <w:r>
      <w:rPr>
        <w:noProof/>
        <w:sz w:val="20"/>
      </w:rPr>
      <w:pict>
        <v:rect id="_x0000_s2051" style="position:absolute;left:0;text-align:left;margin-left:-44.4pt;margin-top:-11.5pt;width:555.1pt;height:745.7pt;z-index:3" fill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97405D4"/>
    <w:lvl w:ilvl="0">
      <w:start w:val="1"/>
      <w:numFmt w:val="bullet"/>
      <w:lvlText w:val=""/>
      <w:lvlJc w:val="left"/>
      <w:pPr>
        <w:tabs>
          <w:tab w:val="num" w:pos="1440"/>
        </w:tabs>
        <w:ind w:left="144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65B72B7"/>
    <w:multiLevelType w:val="singleLevel"/>
    <w:tmpl w:val="64D8503E"/>
    <w:lvl w:ilvl="0">
      <w:start w:val="1"/>
      <w:numFmt w:val="bullet"/>
      <w:pStyle w:val="ListHalfSpace"/>
      <w:lvlText w:val=""/>
      <w:lvlJc w:val="left"/>
      <w:pPr>
        <w:tabs>
          <w:tab w:val="num" w:pos="360"/>
        </w:tabs>
        <w:ind w:left="360" w:hanging="360"/>
      </w:pPr>
      <w:rPr>
        <w:rFonts w:ascii="Symbol" w:hAnsi="Symbol" w:hint="default"/>
      </w:rPr>
    </w:lvl>
  </w:abstractNum>
  <w:abstractNum w:abstractNumId="3">
    <w:nsid w:val="0F5970FA"/>
    <w:multiLevelType w:val="hybridMultilevel"/>
    <w:tmpl w:val="F41C73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951253"/>
    <w:multiLevelType w:val="hybridMultilevel"/>
    <w:tmpl w:val="54547B36"/>
    <w:lvl w:ilvl="0" w:tplc="6D026F16">
      <w:start w:val="1"/>
      <w:numFmt w:val="bullet"/>
      <w:lvlText w:val="l"/>
      <w:lvlJc w:val="left"/>
      <w:pPr>
        <w:tabs>
          <w:tab w:val="num" w:pos="720"/>
        </w:tabs>
        <w:ind w:left="720" w:hanging="360"/>
      </w:pPr>
      <w:rPr>
        <w:rFonts w:ascii="Monotype Sorts" w:hAnsi="Monotype Sorts" w:hint="default"/>
      </w:rPr>
    </w:lvl>
    <w:lvl w:ilvl="1" w:tplc="35B2411E">
      <w:start w:val="182"/>
      <w:numFmt w:val="bullet"/>
      <w:lvlText w:val="Ü"/>
      <w:lvlJc w:val="left"/>
      <w:pPr>
        <w:tabs>
          <w:tab w:val="num" w:pos="1440"/>
        </w:tabs>
        <w:ind w:left="1440" w:hanging="360"/>
      </w:pPr>
      <w:rPr>
        <w:rFonts w:ascii="Monotype Sorts" w:hAnsi="Monotype Sorts" w:hint="default"/>
      </w:rPr>
    </w:lvl>
    <w:lvl w:ilvl="2" w:tplc="A0486640" w:tentative="1">
      <w:start w:val="1"/>
      <w:numFmt w:val="bullet"/>
      <w:lvlText w:val="l"/>
      <w:lvlJc w:val="left"/>
      <w:pPr>
        <w:tabs>
          <w:tab w:val="num" w:pos="2160"/>
        </w:tabs>
        <w:ind w:left="2160" w:hanging="360"/>
      </w:pPr>
      <w:rPr>
        <w:rFonts w:ascii="Monotype Sorts" w:hAnsi="Monotype Sorts" w:hint="default"/>
      </w:rPr>
    </w:lvl>
    <w:lvl w:ilvl="3" w:tplc="404035B4" w:tentative="1">
      <w:start w:val="1"/>
      <w:numFmt w:val="bullet"/>
      <w:lvlText w:val="l"/>
      <w:lvlJc w:val="left"/>
      <w:pPr>
        <w:tabs>
          <w:tab w:val="num" w:pos="2880"/>
        </w:tabs>
        <w:ind w:left="2880" w:hanging="360"/>
      </w:pPr>
      <w:rPr>
        <w:rFonts w:ascii="Monotype Sorts" w:hAnsi="Monotype Sorts" w:hint="default"/>
      </w:rPr>
    </w:lvl>
    <w:lvl w:ilvl="4" w:tplc="BB541E78" w:tentative="1">
      <w:start w:val="1"/>
      <w:numFmt w:val="bullet"/>
      <w:lvlText w:val="l"/>
      <w:lvlJc w:val="left"/>
      <w:pPr>
        <w:tabs>
          <w:tab w:val="num" w:pos="3600"/>
        </w:tabs>
        <w:ind w:left="3600" w:hanging="360"/>
      </w:pPr>
      <w:rPr>
        <w:rFonts w:ascii="Monotype Sorts" w:hAnsi="Monotype Sorts" w:hint="default"/>
      </w:rPr>
    </w:lvl>
    <w:lvl w:ilvl="5" w:tplc="310294D8" w:tentative="1">
      <w:start w:val="1"/>
      <w:numFmt w:val="bullet"/>
      <w:lvlText w:val="l"/>
      <w:lvlJc w:val="left"/>
      <w:pPr>
        <w:tabs>
          <w:tab w:val="num" w:pos="4320"/>
        </w:tabs>
        <w:ind w:left="4320" w:hanging="360"/>
      </w:pPr>
      <w:rPr>
        <w:rFonts w:ascii="Monotype Sorts" w:hAnsi="Monotype Sorts" w:hint="default"/>
      </w:rPr>
    </w:lvl>
    <w:lvl w:ilvl="6" w:tplc="98A802F8" w:tentative="1">
      <w:start w:val="1"/>
      <w:numFmt w:val="bullet"/>
      <w:lvlText w:val="l"/>
      <w:lvlJc w:val="left"/>
      <w:pPr>
        <w:tabs>
          <w:tab w:val="num" w:pos="5040"/>
        </w:tabs>
        <w:ind w:left="5040" w:hanging="360"/>
      </w:pPr>
      <w:rPr>
        <w:rFonts w:ascii="Monotype Sorts" w:hAnsi="Monotype Sorts" w:hint="default"/>
      </w:rPr>
    </w:lvl>
    <w:lvl w:ilvl="7" w:tplc="4EEE646C" w:tentative="1">
      <w:start w:val="1"/>
      <w:numFmt w:val="bullet"/>
      <w:lvlText w:val="l"/>
      <w:lvlJc w:val="left"/>
      <w:pPr>
        <w:tabs>
          <w:tab w:val="num" w:pos="5760"/>
        </w:tabs>
        <w:ind w:left="5760" w:hanging="360"/>
      </w:pPr>
      <w:rPr>
        <w:rFonts w:ascii="Monotype Sorts" w:hAnsi="Monotype Sorts" w:hint="default"/>
      </w:rPr>
    </w:lvl>
    <w:lvl w:ilvl="8" w:tplc="E85804F8" w:tentative="1">
      <w:start w:val="1"/>
      <w:numFmt w:val="bullet"/>
      <w:lvlText w:val="l"/>
      <w:lvlJc w:val="left"/>
      <w:pPr>
        <w:tabs>
          <w:tab w:val="num" w:pos="6480"/>
        </w:tabs>
        <w:ind w:left="6480" w:hanging="360"/>
      </w:pPr>
      <w:rPr>
        <w:rFonts w:ascii="Monotype Sorts" w:hAnsi="Monotype Sorts" w:hint="default"/>
      </w:rPr>
    </w:lvl>
  </w:abstractNum>
  <w:abstractNum w:abstractNumId="5">
    <w:nsid w:val="2AAD6D8A"/>
    <w:multiLevelType w:val="singleLevel"/>
    <w:tmpl w:val="758E46E6"/>
    <w:lvl w:ilvl="0">
      <w:start w:val="1"/>
      <w:numFmt w:val="bullet"/>
      <w:pStyle w:val="List3rdLevel"/>
      <w:lvlText w:val=""/>
      <w:lvlJc w:val="left"/>
      <w:pPr>
        <w:tabs>
          <w:tab w:val="num" w:pos="360"/>
        </w:tabs>
        <w:ind w:left="360" w:hanging="360"/>
      </w:pPr>
      <w:rPr>
        <w:rFonts w:ascii="Symbol" w:hAnsi="Symbol" w:hint="default"/>
      </w:rPr>
    </w:lvl>
  </w:abstractNum>
  <w:abstractNum w:abstractNumId="6">
    <w:nsid w:val="346002A7"/>
    <w:multiLevelType w:val="hybridMultilevel"/>
    <w:tmpl w:val="F84882E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6546188"/>
    <w:multiLevelType w:val="hybridMultilevel"/>
    <w:tmpl w:val="F0B8837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45A50149"/>
    <w:multiLevelType w:val="hybridMultilevel"/>
    <w:tmpl w:val="EC5E95DE"/>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53610331"/>
    <w:multiLevelType w:val="singleLevel"/>
    <w:tmpl w:val="3FA88902"/>
    <w:lvl w:ilvl="0">
      <w:start w:val="1"/>
      <w:numFmt w:val="bullet"/>
      <w:pStyle w:val="ListNoSpace"/>
      <w:lvlText w:val=""/>
      <w:lvlJc w:val="left"/>
      <w:pPr>
        <w:tabs>
          <w:tab w:val="num" w:pos="360"/>
        </w:tabs>
        <w:ind w:left="360" w:hanging="360"/>
      </w:pPr>
      <w:rPr>
        <w:rFonts w:ascii="Symbol" w:hAnsi="Symbol" w:hint="default"/>
      </w:rPr>
    </w:lvl>
  </w:abstractNum>
  <w:abstractNum w:abstractNumId="10">
    <w:nsid w:val="53CF01A5"/>
    <w:multiLevelType w:val="singleLevel"/>
    <w:tmpl w:val="36A002E0"/>
    <w:lvl w:ilvl="0">
      <w:start w:val="1"/>
      <w:numFmt w:val="bullet"/>
      <w:pStyle w:val="List2ndLevel"/>
      <w:lvlText w:val=""/>
      <w:lvlJc w:val="left"/>
      <w:pPr>
        <w:tabs>
          <w:tab w:val="num" w:pos="360"/>
        </w:tabs>
        <w:ind w:left="360" w:hanging="360"/>
      </w:pPr>
      <w:rPr>
        <w:rFonts w:ascii="Symbol" w:hAnsi="Symbol" w:hint="default"/>
      </w:rPr>
    </w:lvl>
  </w:abstractNum>
  <w:abstractNum w:abstractNumId="11">
    <w:nsid w:val="59893567"/>
    <w:multiLevelType w:val="hybridMultilevel"/>
    <w:tmpl w:val="E0023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CD1770"/>
    <w:multiLevelType w:val="hybridMultilevel"/>
    <w:tmpl w:val="92A066E6"/>
    <w:lvl w:ilvl="0" w:tplc="FBFC7928">
      <w:start w:val="1"/>
      <w:numFmt w:val="bullet"/>
      <w:lvlText w:val="l"/>
      <w:lvlJc w:val="left"/>
      <w:pPr>
        <w:tabs>
          <w:tab w:val="num" w:pos="720"/>
        </w:tabs>
        <w:ind w:left="720" w:hanging="360"/>
      </w:pPr>
      <w:rPr>
        <w:rFonts w:ascii="Monotype Sorts" w:hAnsi="Monotype Sorts" w:hint="default"/>
      </w:rPr>
    </w:lvl>
    <w:lvl w:ilvl="1" w:tplc="862CCAAA">
      <w:start w:val="182"/>
      <w:numFmt w:val="bullet"/>
      <w:lvlText w:val="Ü"/>
      <w:lvlJc w:val="left"/>
      <w:pPr>
        <w:tabs>
          <w:tab w:val="num" w:pos="1440"/>
        </w:tabs>
        <w:ind w:left="1440" w:hanging="360"/>
      </w:pPr>
      <w:rPr>
        <w:rFonts w:ascii="Monotype Sorts" w:hAnsi="Monotype Sorts" w:hint="default"/>
      </w:rPr>
    </w:lvl>
    <w:lvl w:ilvl="2" w:tplc="7F9CF016" w:tentative="1">
      <w:start w:val="1"/>
      <w:numFmt w:val="bullet"/>
      <w:lvlText w:val="l"/>
      <w:lvlJc w:val="left"/>
      <w:pPr>
        <w:tabs>
          <w:tab w:val="num" w:pos="2160"/>
        </w:tabs>
        <w:ind w:left="2160" w:hanging="360"/>
      </w:pPr>
      <w:rPr>
        <w:rFonts w:ascii="Monotype Sorts" w:hAnsi="Monotype Sorts" w:hint="default"/>
      </w:rPr>
    </w:lvl>
    <w:lvl w:ilvl="3" w:tplc="1A56B37E" w:tentative="1">
      <w:start w:val="1"/>
      <w:numFmt w:val="bullet"/>
      <w:lvlText w:val="l"/>
      <w:lvlJc w:val="left"/>
      <w:pPr>
        <w:tabs>
          <w:tab w:val="num" w:pos="2880"/>
        </w:tabs>
        <w:ind w:left="2880" w:hanging="360"/>
      </w:pPr>
      <w:rPr>
        <w:rFonts w:ascii="Monotype Sorts" w:hAnsi="Monotype Sorts" w:hint="default"/>
      </w:rPr>
    </w:lvl>
    <w:lvl w:ilvl="4" w:tplc="7F1CB614" w:tentative="1">
      <w:start w:val="1"/>
      <w:numFmt w:val="bullet"/>
      <w:lvlText w:val="l"/>
      <w:lvlJc w:val="left"/>
      <w:pPr>
        <w:tabs>
          <w:tab w:val="num" w:pos="3600"/>
        </w:tabs>
        <w:ind w:left="3600" w:hanging="360"/>
      </w:pPr>
      <w:rPr>
        <w:rFonts w:ascii="Monotype Sorts" w:hAnsi="Monotype Sorts" w:hint="default"/>
      </w:rPr>
    </w:lvl>
    <w:lvl w:ilvl="5" w:tplc="C3B8F4DE" w:tentative="1">
      <w:start w:val="1"/>
      <w:numFmt w:val="bullet"/>
      <w:lvlText w:val="l"/>
      <w:lvlJc w:val="left"/>
      <w:pPr>
        <w:tabs>
          <w:tab w:val="num" w:pos="4320"/>
        </w:tabs>
        <w:ind w:left="4320" w:hanging="360"/>
      </w:pPr>
      <w:rPr>
        <w:rFonts w:ascii="Monotype Sorts" w:hAnsi="Monotype Sorts" w:hint="default"/>
      </w:rPr>
    </w:lvl>
    <w:lvl w:ilvl="6" w:tplc="94CCD058" w:tentative="1">
      <w:start w:val="1"/>
      <w:numFmt w:val="bullet"/>
      <w:lvlText w:val="l"/>
      <w:lvlJc w:val="left"/>
      <w:pPr>
        <w:tabs>
          <w:tab w:val="num" w:pos="5040"/>
        </w:tabs>
        <w:ind w:left="5040" w:hanging="360"/>
      </w:pPr>
      <w:rPr>
        <w:rFonts w:ascii="Monotype Sorts" w:hAnsi="Monotype Sorts" w:hint="default"/>
      </w:rPr>
    </w:lvl>
    <w:lvl w:ilvl="7" w:tplc="62BC36F2" w:tentative="1">
      <w:start w:val="1"/>
      <w:numFmt w:val="bullet"/>
      <w:lvlText w:val="l"/>
      <w:lvlJc w:val="left"/>
      <w:pPr>
        <w:tabs>
          <w:tab w:val="num" w:pos="5760"/>
        </w:tabs>
        <w:ind w:left="5760" w:hanging="360"/>
      </w:pPr>
      <w:rPr>
        <w:rFonts w:ascii="Monotype Sorts" w:hAnsi="Monotype Sorts" w:hint="default"/>
      </w:rPr>
    </w:lvl>
    <w:lvl w:ilvl="8" w:tplc="68B68C3A" w:tentative="1">
      <w:start w:val="1"/>
      <w:numFmt w:val="bullet"/>
      <w:lvlText w:val="l"/>
      <w:lvlJc w:val="left"/>
      <w:pPr>
        <w:tabs>
          <w:tab w:val="num" w:pos="6480"/>
        </w:tabs>
        <w:ind w:left="6480" w:hanging="360"/>
      </w:pPr>
      <w:rPr>
        <w:rFonts w:ascii="Monotype Sorts" w:hAnsi="Monotype Sorts" w:hint="default"/>
      </w:rPr>
    </w:lvl>
  </w:abstractNum>
  <w:abstractNum w:abstractNumId="13">
    <w:nsid w:val="7B332E72"/>
    <w:multiLevelType w:val="singleLevel"/>
    <w:tmpl w:val="B92EC418"/>
    <w:lvl w:ilvl="0">
      <w:start w:val="1"/>
      <w:numFmt w:val="bullet"/>
      <w:pStyle w:val="ListDash1"/>
      <w:lvlText w:val=""/>
      <w:lvlJc w:val="left"/>
      <w:pPr>
        <w:tabs>
          <w:tab w:val="num" w:pos="1224"/>
        </w:tabs>
        <w:ind w:left="1224" w:hanging="360"/>
      </w:pPr>
      <w:rPr>
        <w:rFonts w:ascii="Symbol" w:hAnsi="Symbol" w:hint="default"/>
      </w:rPr>
    </w:lvl>
  </w:abstractNum>
  <w:num w:numId="1">
    <w:abstractNumId w:val="1"/>
    <w:lvlOverride w:ilvl="0">
      <w:lvl w:ilvl="0">
        <w:start w:val="1"/>
        <w:numFmt w:val="bullet"/>
        <w:lvlText w:val=""/>
        <w:legacy w:legacy="1" w:legacySpace="0" w:legacyIndent="360"/>
        <w:lvlJc w:val="left"/>
        <w:pPr>
          <w:ind w:left="360" w:hanging="360"/>
        </w:pPr>
        <w:rPr>
          <w:rFonts w:ascii="Times" w:hAnsi="Times" w:hint="default"/>
          <w:sz w:val="20"/>
        </w:rPr>
      </w:lvl>
    </w:lvlOverride>
  </w:num>
  <w:num w:numId="2">
    <w:abstractNumId w:val="2"/>
  </w:num>
  <w:num w:numId="3">
    <w:abstractNumId w:val="9"/>
  </w:num>
  <w:num w:numId="4">
    <w:abstractNumId w:val="1"/>
    <w:lvlOverride w:ilvl="0">
      <w:lvl w:ilvl="0">
        <w:start w:val="1"/>
        <w:numFmt w:val="bullet"/>
        <w:lvlText w:val=""/>
        <w:legacy w:legacy="1" w:legacySpace="0" w:legacyIndent="360"/>
        <w:lvlJc w:val="left"/>
        <w:pPr>
          <w:ind w:left="1080" w:hanging="360"/>
        </w:pPr>
        <w:rPr>
          <w:rFonts w:ascii="Times" w:hAnsi="Times" w:hint="default"/>
        </w:rPr>
      </w:lvl>
    </w:lvlOverride>
  </w:num>
  <w:num w:numId="5">
    <w:abstractNumId w:val="1"/>
    <w:lvlOverride w:ilvl="0">
      <w:lvl w:ilvl="0">
        <w:start w:val="1"/>
        <w:numFmt w:val="bullet"/>
        <w:lvlText w:val="-"/>
        <w:legacy w:legacy="1" w:legacySpace="0" w:legacyIndent="360"/>
        <w:lvlJc w:val="left"/>
        <w:pPr>
          <w:ind w:left="720" w:hanging="360"/>
        </w:pPr>
        <w:rPr>
          <w:sz w:val="22"/>
        </w:rPr>
      </w:lvl>
    </w:lvlOverride>
  </w:num>
  <w:num w:numId="6">
    <w:abstractNumId w:val="0"/>
  </w:num>
  <w:num w:numId="7">
    <w:abstractNumId w:val="1"/>
    <w:lvlOverride w:ilvl="0">
      <w:lvl w:ilvl="0">
        <w:start w:val="1"/>
        <w:numFmt w:val="bullet"/>
        <w:lvlText w:val=""/>
        <w:legacy w:legacy="1" w:legacySpace="0" w:legacyIndent="360"/>
        <w:lvlJc w:val="left"/>
        <w:pPr>
          <w:ind w:left="1080" w:hanging="360"/>
        </w:pPr>
        <w:rPr>
          <w:rFonts w:ascii="Times" w:hAnsi="Times" w:hint="default"/>
          <w:sz w:val="20"/>
        </w:rPr>
      </w:lvl>
    </w:lvlOverride>
  </w:num>
  <w:num w:numId="8">
    <w:abstractNumId w:val="5"/>
  </w:num>
  <w:num w:numId="9">
    <w:abstractNumId w:val="10"/>
  </w:num>
  <w:num w:numId="10">
    <w:abstractNumId w:val="6"/>
  </w:num>
  <w:num w:numId="11">
    <w:abstractNumId w:val="7"/>
  </w:num>
  <w:num w:numId="12">
    <w:abstractNumId w:val="8"/>
  </w:num>
  <w:num w:numId="13">
    <w:abstractNumId w:val="3"/>
  </w:num>
  <w:num w:numId="14">
    <w:abstractNumId w:val="12"/>
  </w:num>
  <w:num w:numId="15">
    <w:abstractNumId w:val="4"/>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6CC3"/>
    <w:rsid w:val="0001078A"/>
    <w:rsid w:val="00035077"/>
    <w:rsid w:val="00076800"/>
    <w:rsid w:val="00081A22"/>
    <w:rsid w:val="00100B5C"/>
    <w:rsid w:val="00123D2C"/>
    <w:rsid w:val="00154665"/>
    <w:rsid w:val="001A12FE"/>
    <w:rsid w:val="0020366F"/>
    <w:rsid w:val="00211229"/>
    <w:rsid w:val="002301CD"/>
    <w:rsid w:val="002D1589"/>
    <w:rsid w:val="002F1C53"/>
    <w:rsid w:val="00303A87"/>
    <w:rsid w:val="00307F56"/>
    <w:rsid w:val="00336431"/>
    <w:rsid w:val="004120F2"/>
    <w:rsid w:val="004227B0"/>
    <w:rsid w:val="0045702F"/>
    <w:rsid w:val="004A1D4F"/>
    <w:rsid w:val="004C6CC3"/>
    <w:rsid w:val="00575A1B"/>
    <w:rsid w:val="005A5B34"/>
    <w:rsid w:val="005C7B9F"/>
    <w:rsid w:val="00681E0F"/>
    <w:rsid w:val="006E0467"/>
    <w:rsid w:val="00732859"/>
    <w:rsid w:val="007C1EA2"/>
    <w:rsid w:val="00804012"/>
    <w:rsid w:val="00836E7B"/>
    <w:rsid w:val="0089026F"/>
    <w:rsid w:val="009C25F1"/>
    <w:rsid w:val="00A5685D"/>
    <w:rsid w:val="00A728F0"/>
    <w:rsid w:val="00B15D7A"/>
    <w:rsid w:val="00B41BD7"/>
    <w:rsid w:val="00BE2E59"/>
    <w:rsid w:val="00C336DD"/>
    <w:rsid w:val="00C37788"/>
    <w:rsid w:val="00C46872"/>
    <w:rsid w:val="00CA5CC2"/>
    <w:rsid w:val="00D77374"/>
    <w:rsid w:val="00DD6D29"/>
    <w:rsid w:val="00E11A35"/>
    <w:rsid w:val="00E55148"/>
    <w:rsid w:val="00E75095"/>
    <w:rsid w:val="00E779BC"/>
    <w:rsid w:val="00E929F9"/>
    <w:rsid w:val="00ED5A1D"/>
    <w:rsid w:val="00FF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FSI"/>
    <w:qFormat/>
    <w:pPr>
      <w:jc w:val="both"/>
    </w:pPr>
    <w:rPr>
      <w:rFonts w:ascii="Swiss II" w:hAnsi="Swiss II"/>
      <w:sz w:val="22"/>
    </w:rPr>
  </w:style>
  <w:style w:type="paragraph" w:styleId="Heading1">
    <w:name w:val="heading 1"/>
    <w:aliases w:val="h1"/>
    <w:basedOn w:val="Normal"/>
    <w:next w:val="NormalFSI"/>
    <w:qFormat/>
    <w:pPr>
      <w:keepNext/>
      <w:pageBreakBefore/>
      <w:spacing w:after="240"/>
      <w:jc w:val="center"/>
      <w:outlineLvl w:val="0"/>
    </w:pPr>
    <w:rPr>
      <w:b/>
      <w:sz w:val="36"/>
    </w:rPr>
  </w:style>
  <w:style w:type="paragraph" w:styleId="Heading2">
    <w:name w:val="heading 2"/>
    <w:basedOn w:val="Heading1"/>
    <w:next w:val="NormalFSI"/>
    <w:qFormat/>
    <w:pPr>
      <w:pageBreakBefore w:val="0"/>
      <w:spacing w:before="480"/>
      <w:jc w:val="left"/>
      <w:outlineLvl w:val="1"/>
    </w:pPr>
    <w:rPr>
      <w:caps/>
      <w:sz w:val="26"/>
    </w:rPr>
  </w:style>
  <w:style w:type="paragraph" w:styleId="Heading3">
    <w:name w:val="heading 3"/>
    <w:basedOn w:val="Heading2"/>
    <w:next w:val="NormalFSI"/>
    <w:qFormat/>
    <w:pPr>
      <w:spacing w:after="0"/>
      <w:outlineLvl w:val="2"/>
    </w:pPr>
    <w:rPr>
      <w:caps w:val="0"/>
    </w:rPr>
  </w:style>
  <w:style w:type="paragraph" w:styleId="Heading4">
    <w:name w:val="heading 4"/>
    <w:basedOn w:val="Normal"/>
    <w:next w:val="Normal"/>
    <w:qFormat/>
    <w:pPr>
      <w:keepNext/>
      <w:spacing w:before="240"/>
      <w:outlineLvl w:val="3"/>
    </w:pPr>
    <w:rPr>
      <w:b/>
    </w:rPr>
  </w:style>
  <w:style w:type="paragraph" w:styleId="Heading5">
    <w:name w:val="heading 5"/>
    <w:basedOn w:val="Normal"/>
    <w:next w:val="Normal"/>
    <w:qFormat/>
    <w:pPr>
      <w:keepNext/>
      <w:jc w:val="center"/>
      <w:outlineLvl w:val="4"/>
    </w:pPr>
    <w:rPr>
      <w:rFonts w:ascii="Times New Roman" w:hAnsi="Times New Roman"/>
      <w:b/>
      <w:bCs/>
      <w:color w:val="FF0000"/>
      <w:sz w:val="40"/>
    </w:rPr>
  </w:style>
  <w:style w:type="paragraph" w:styleId="Heading6">
    <w:name w:val="heading 6"/>
    <w:basedOn w:val="Normal"/>
    <w:next w:val="Normal"/>
    <w:qFormat/>
    <w:pPr>
      <w:keepNext/>
      <w:outlineLvl w:val="5"/>
    </w:pPr>
    <w:rPr>
      <w:rFonts w:ascii="Times New Roman" w:hAnsi="Times New Roman"/>
      <w:i/>
      <w:iCs/>
      <w:sz w:val="24"/>
    </w:rPr>
  </w:style>
  <w:style w:type="paragraph" w:styleId="Heading7">
    <w:name w:val="heading 7"/>
    <w:basedOn w:val="Normal"/>
    <w:next w:val="Normal"/>
    <w:qFormat/>
    <w:pPr>
      <w:keepNext/>
      <w:outlineLvl w:val="6"/>
    </w:pPr>
    <w:rPr>
      <w:rFonts w:ascii="Times New Roman" w:hAnsi="Times New Roman"/>
      <w:i/>
      <w:iCs/>
    </w:rPr>
  </w:style>
  <w:style w:type="paragraph" w:styleId="Heading8">
    <w:name w:val="heading 8"/>
    <w:basedOn w:val="Normal"/>
    <w:next w:val="TableCell"/>
    <w:qFormat/>
    <w:pPr>
      <w:keepNext/>
      <w:keepLines/>
      <w:spacing w:before="480" w:after="240"/>
      <w:jc w:val="center"/>
      <w:outlineLvl w:val="7"/>
    </w:pPr>
  </w:style>
  <w:style w:type="paragraph" w:styleId="Heading9">
    <w:name w:val="heading 9"/>
    <w:basedOn w:val="Normal"/>
    <w:next w:val="NormalFSI"/>
    <w:qFormat/>
    <w:pPr>
      <w:keepLines/>
      <w:spacing w:before="240" w:after="240"/>
      <w:jc w:val="cente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igure">
    <w:name w:val="Figure"/>
    <w:basedOn w:val="Normal"/>
    <w:next w:val="Heading9"/>
    <w:pPr>
      <w:keepNext/>
      <w:spacing w:before="480"/>
      <w:jc w:val="center"/>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List2ndLevel">
    <w:name w:val="List 2nd Level"/>
    <w:basedOn w:val="Normal"/>
    <w:next w:val="NormalFSI"/>
    <w:pPr>
      <w:numPr>
        <w:numId w:val="9"/>
      </w:numPr>
      <w:ind w:left="720"/>
    </w:pPr>
  </w:style>
  <w:style w:type="paragraph" w:customStyle="1" w:styleId="List3rdLevel">
    <w:name w:val="List 3rd Level"/>
    <w:basedOn w:val="Normal"/>
    <w:next w:val="NormalFSI"/>
    <w:pPr>
      <w:numPr>
        <w:numId w:val="8"/>
      </w:numPr>
      <w:ind w:left="1080"/>
    </w:pPr>
  </w:style>
  <w:style w:type="paragraph" w:customStyle="1" w:styleId="ListHalfSpace">
    <w:name w:val="List Half Space"/>
    <w:basedOn w:val="Normal"/>
    <w:next w:val="NormalFSI"/>
    <w:pPr>
      <w:numPr>
        <w:numId w:val="2"/>
      </w:numPr>
      <w:spacing w:before="120"/>
    </w:pPr>
  </w:style>
  <w:style w:type="paragraph" w:customStyle="1" w:styleId="ListNoSpace">
    <w:name w:val="List No Space"/>
    <w:basedOn w:val="Normal"/>
    <w:next w:val="NormalFSI"/>
    <w:pPr>
      <w:numPr>
        <w:numId w:val="3"/>
      </w:numPr>
    </w:pPr>
  </w:style>
  <w:style w:type="paragraph" w:customStyle="1" w:styleId="NormalFSI">
    <w:name w:val="Normal FSI"/>
    <w:basedOn w:val="Normal"/>
    <w:pPr>
      <w:spacing w:before="240"/>
    </w:pPr>
  </w:style>
  <w:style w:type="paragraph" w:styleId="NormalIndent">
    <w:name w:val="Normal Indent"/>
    <w:basedOn w:val="NormalFSI"/>
    <w:next w:val="NormalFSI"/>
    <w:pPr>
      <w:spacing w:before="120"/>
      <w:ind w:left="720" w:right="720"/>
    </w:pPr>
  </w:style>
  <w:style w:type="paragraph" w:customStyle="1" w:styleId="TableCell">
    <w:name w:val="Table Cell"/>
    <w:basedOn w:val="Normal"/>
    <w:next w:val="Normal"/>
    <w:pPr>
      <w:keepLines/>
      <w:spacing w:line="240" w:lineRule="atLeast"/>
      <w:jc w:val="center"/>
    </w:pPr>
  </w:style>
  <w:style w:type="paragraph" w:customStyle="1" w:styleId="TableHeading">
    <w:name w:val="Table Heading"/>
    <w:basedOn w:val="NormalFSI"/>
    <w:pPr>
      <w:keepLines/>
      <w:spacing w:before="0" w:line="240" w:lineRule="atLeast"/>
      <w:jc w:val="center"/>
    </w:pPr>
    <w:rPr>
      <w:smallCaps/>
    </w:rPr>
  </w:style>
  <w:style w:type="paragraph" w:styleId="TOC1">
    <w:name w:val="toc 1"/>
    <w:basedOn w:val="NormalFSI"/>
    <w:next w:val="Normal"/>
    <w:autoRedefine/>
    <w:semiHidden/>
    <w:pPr>
      <w:tabs>
        <w:tab w:val="left" w:leader="dot" w:pos="8280"/>
        <w:tab w:val="right" w:pos="8640"/>
      </w:tabs>
      <w:spacing w:line="240" w:lineRule="atLeast"/>
      <w:ind w:left="360" w:right="720" w:hanging="360"/>
    </w:pPr>
    <w:rPr>
      <w:b/>
      <w:caps/>
    </w:rPr>
  </w:style>
  <w:style w:type="paragraph" w:styleId="TOC2">
    <w:name w:val="toc 2"/>
    <w:basedOn w:val="Normal"/>
    <w:next w:val="Normal"/>
    <w:autoRedefine/>
    <w:semiHidden/>
    <w:pPr>
      <w:tabs>
        <w:tab w:val="left" w:leader="dot" w:pos="8280"/>
        <w:tab w:val="right" w:pos="8640"/>
      </w:tabs>
      <w:spacing w:line="240" w:lineRule="atLeast"/>
      <w:ind w:left="1080" w:right="720" w:hanging="360"/>
    </w:pPr>
    <w:rPr>
      <w:smallCaps/>
    </w:rPr>
  </w:style>
  <w:style w:type="paragraph" w:styleId="TOC3">
    <w:name w:val="toc 3"/>
    <w:basedOn w:val="Normal"/>
    <w:next w:val="Normal"/>
    <w:autoRedefine/>
    <w:semiHidden/>
    <w:pPr>
      <w:tabs>
        <w:tab w:val="left" w:leader="dot" w:pos="8280"/>
        <w:tab w:val="right" w:pos="8640"/>
      </w:tabs>
      <w:spacing w:line="240" w:lineRule="atLeast"/>
      <w:ind w:left="1800" w:right="720" w:hanging="360"/>
    </w:pPr>
  </w:style>
  <w:style w:type="paragraph" w:styleId="Title">
    <w:name w:val="Title"/>
    <w:basedOn w:val="Normal"/>
    <w:next w:val="NormalFSI"/>
    <w:qFormat/>
    <w:pPr>
      <w:spacing w:after="720"/>
      <w:jc w:val="center"/>
    </w:pPr>
    <w:rPr>
      <w:b/>
      <w:kern w:val="28"/>
      <w:sz w:val="32"/>
    </w:rPr>
  </w:style>
  <w:style w:type="paragraph" w:styleId="TOC8">
    <w:name w:val="toc 8"/>
    <w:basedOn w:val="Normal"/>
    <w:next w:val="Normal"/>
    <w:autoRedefine/>
    <w:semiHidden/>
    <w:pPr>
      <w:tabs>
        <w:tab w:val="right" w:leader="dot" w:pos="8640"/>
      </w:tabs>
    </w:pPr>
  </w:style>
  <w:style w:type="paragraph" w:styleId="TOC9">
    <w:name w:val="toc 9"/>
    <w:basedOn w:val="Normal"/>
    <w:next w:val="Normal"/>
    <w:autoRedefine/>
    <w:semiHidden/>
    <w:pPr>
      <w:tabs>
        <w:tab w:val="right" w:leader="dot" w:pos="8640"/>
      </w:tabs>
      <w:ind w:left="176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sz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NormalWeb">
    <w:name w:val="Normal (Web)"/>
    <w:basedOn w:val="Normal"/>
    <w:pPr>
      <w:spacing w:before="100" w:beforeAutospacing="1" w:after="100" w:afterAutospacing="1"/>
      <w:jc w:val="left"/>
    </w:pPr>
    <w:rPr>
      <w:rFonts w:ascii="Times New Roman" w:hAnsi="Times New Roman"/>
      <w:sz w:val="24"/>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pPr>
      <w:jc w:val="right"/>
    </w:pPr>
    <w:rPr>
      <w:rFonts w:ascii="Times New Roman" w:hAnsi="Times New Roman"/>
      <w:b/>
      <w:bCs/>
      <w:i/>
      <w:iCs/>
    </w:rPr>
  </w:style>
  <w:style w:type="character" w:styleId="Hyperlink">
    <w:name w:val="Hyperlink"/>
    <w:rsid w:val="004227B0"/>
    <w:rPr>
      <w:color w:val="0000FF"/>
      <w:u w:val="single"/>
    </w:rPr>
  </w:style>
  <w:style w:type="paragraph" w:styleId="TOC5">
    <w:name w:val="toc 5"/>
    <w:basedOn w:val="Normal"/>
    <w:next w:val="Normal"/>
    <w:autoRedefine/>
    <w:semiHidden/>
    <w:rsid w:val="00ED5A1D"/>
    <w:pPr>
      <w:ind w:left="960"/>
    </w:pPr>
    <w:rPr>
      <w:rFonts w:ascii="Arial" w:hAnsi="Arial"/>
      <w:sz w:val="24"/>
      <w:szCs w:val="24"/>
    </w:rPr>
  </w:style>
  <w:style w:type="paragraph" w:customStyle="1" w:styleId="ListDash1">
    <w:name w:val="List Dash 1"/>
    <w:aliases w:val="ld1"/>
    <w:basedOn w:val="BodyText"/>
    <w:rsid w:val="00A728F0"/>
    <w:pPr>
      <w:numPr>
        <w:numId w:val="16"/>
      </w:numPr>
      <w:tabs>
        <w:tab w:val="num" w:leader="none" w:pos="1224"/>
      </w:tabs>
      <w:spacing w:after="120"/>
      <w:jc w:val="both"/>
    </w:pPr>
    <w:rPr>
      <w:rFonts w:ascii="Book Antiqua" w:hAnsi="Book Antiqua"/>
      <w:sz w:val="22"/>
    </w:rPr>
  </w:style>
  <w:style w:type="paragraph" w:customStyle="1" w:styleId="Char">
    <w:name w:val=" Char"/>
    <w:basedOn w:val="Normal"/>
    <w:semiHidden/>
    <w:rsid w:val="00A728F0"/>
    <w:pPr>
      <w:widowControl w:val="0"/>
      <w:spacing w:after="160" w:line="240" w:lineRule="exact"/>
      <w:jc w:val="left"/>
    </w:pPr>
    <w:rPr>
      <w:rFonts w:ascii="Tahoma" w:hAnsi="Tahom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24214">
      <w:bodyDiv w:val="1"/>
      <w:marLeft w:val="0"/>
      <w:marRight w:val="0"/>
      <w:marTop w:val="0"/>
      <w:marBottom w:val="0"/>
      <w:divBdr>
        <w:top w:val="none" w:sz="0" w:space="0" w:color="auto"/>
        <w:left w:val="none" w:sz="0" w:space="0" w:color="auto"/>
        <w:bottom w:val="none" w:sz="0" w:space="0" w:color="auto"/>
        <w:right w:val="none" w:sz="0" w:space="0" w:color="auto"/>
      </w:divBdr>
      <w:divsChild>
        <w:div w:id="1602565438">
          <w:marLeft w:val="0"/>
          <w:marRight w:val="0"/>
          <w:marTop w:val="0"/>
          <w:marBottom w:val="0"/>
          <w:divBdr>
            <w:top w:val="none" w:sz="0" w:space="0" w:color="auto"/>
            <w:left w:val="none" w:sz="0" w:space="0" w:color="auto"/>
            <w:bottom w:val="none" w:sz="0" w:space="0" w:color="auto"/>
            <w:right w:val="none" w:sz="0" w:space="0" w:color="auto"/>
          </w:divBdr>
          <w:divsChild>
            <w:div w:id="216016079">
              <w:marLeft w:val="0"/>
              <w:marRight w:val="0"/>
              <w:marTop w:val="0"/>
              <w:marBottom w:val="0"/>
              <w:divBdr>
                <w:top w:val="none" w:sz="0" w:space="0" w:color="auto"/>
                <w:left w:val="none" w:sz="0" w:space="0" w:color="auto"/>
                <w:bottom w:val="none" w:sz="0" w:space="0" w:color="auto"/>
                <w:right w:val="none" w:sz="0" w:space="0" w:color="auto"/>
              </w:divBdr>
            </w:div>
            <w:div w:id="908468468">
              <w:marLeft w:val="0"/>
              <w:marRight w:val="0"/>
              <w:marTop w:val="0"/>
              <w:marBottom w:val="0"/>
              <w:divBdr>
                <w:top w:val="none" w:sz="0" w:space="0" w:color="auto"/>
                <w:left w:val="none" w:sz="0" w:space="0" w:color="auto"/>
                <w:bottom w:val="none" w:sz="0" w:space="0" w:color="auto"/>
                <w:right w:val="none" w:sz="0" w:space="0" w:color="auto"/>
              </w:divBdr>
            </w:div>
            <w:div w:id="1019502507">
              <w:marLeft w:val="0"/>
              <w:marRight w:val="0"/>
              <w:marTop w:val="0"/>
              <w:marBottom w:val="0"/>
              <w:divBdr>
                <w:top w:val="none" w:sz="0" w:space="0" w:color="auto"/>
                <w:left w:val="none" w:sz="0" w:space="0" w:color="auto"/>
                <w:bottom w:val="none" w:sz="0" w:space="0" w:color="auto"/>
                <w:right w:val="none" w:sz="0" w:space="0" w:color="auto"/>
              </w:divBdr>
            </w:div>
            <w:div w:id="14436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3079">
      <w:bodyDiv w:val="1"/>
      <w:marLeft w:val="0"/>
      <w:marRight w:val="0"/>
      <w:marTop w:val="0"/>
      <w:marBottom w:val="0"/>
      <w:divBdr>
        <w:top w:val="none" w:sz="0" w:space="0" w:color="auto"/>
        <w:left w:val="none" w:sz="0" w:space="0" w:color="auto"/>
        <w:bottom w:val="none" w:sz="0" w:space="0" w:color="auto"/>
        <w:right w:val="none" w:sz="0" w:space="0" w:color="auto"/>
      </w:divBdr>
    </w:div>
    <w:div w:id="2088844271">
      <w:bodyDiv w:val="1"/>
      <w:marLeft w:val="0"/>
      <w:marRight w:val="0"/>
      <w:marTop w:val="0"/>
      <w:marBottom w:val="0"/>
      <w:divBdr>
        <w:top w:val="none" w:sz="0" w:space="0" w:color="auto"/>
        <w:left w:val="none" w:sz="0" w:space="0" w:color="auto"/>
        <w:bottom w:val="none" w:sz="0" w:space="0" w:color="auto"/>
        <w:right w:val="none" w:sz="0" w:space="0" w:color="auto"/>
      </w:divBdr>
      <w:divsChild>
        <w:div w:id="491260468">
          <w:marLeft w:val="0"/>
          <w:marRight w:val="0"/>
          <w:marTop w:val="0"/>
          <w:marBottom w:val="0"/>
          <w:divBdr>
            <w:top w:val="none" w:sz="0" w:space="0" w:color="auto"/>
            <w:left w:val="none" w:sz="0" w:space="0" w:color="auto"/>
            <w:bottom w:val="none" w:sz="0" w:space="0" w:color="auto"/>
            <w:right w:val="none" w:sz="0" w:space="0" w:color="auto"/>
          </w:divBdr>
          <w:divsChild>
            <w:div w:id="680426611">
              <w:marLeft w:val="0"/>
              <w:marRight w:val="0"/>
              <w:marTop w:val="0"/>
              <w:marBottom w:val="0"/>
              <w:divBdr>
                <w:top w:val="none" w:sz="0" w:space="0" w:color="auto"/>
                <w:left w:val="none" w:sz="0" w:space="0" w:color="auto"/>
                <w:bottom w:val="none" w:sz="0" w:space="0" w:color="auto"/>
                <w:right w:val="none" w:sz="0" w:space="0" w:color="auto"/>
              </w:divBdr>
            </w:div>
            <w:div w:id="1642540840">
              <w:marLeft w:val="0"/>
              <w:marRight w:val="0"/>
              <w:marTop w:val="0"/>
              <w:marBottom w:val="0"/>
              <w:divBdr>
                <w:top w:val="none" w:sz="0" w:space="0" w:color="auto"/>
                <w:left w:val="none" w:sz="0" w:space="0" w:color="auto"/>
                <w:bottom w:val="none" w:sz="0" w:space="0" w:color="auto"/>
                <w:right w:val="none" w:sz="0" w:space="0" w:color="auto"/>
              </w:divBdr>
            </w:div>
            <w:div w:id="1999072580">
              <w:marLeft w:val="0"/>
              <w:marRight w:val="0"/>
              <w:marTop w:val="0"/>
              <w:marBottom w:val="0"/>
              <w:divBdr>
                <w:top w:val="none" w:sz="0" w:space="0" w:color="auto"/>
                <w:left w:val="none" w:sz="0" w:space="0" w:color="auto"/>
                <w:bottom w:val="none" w:sz="0" w:space="0" w:color="auto"/>
                <w:right w:val="none" w:sz="0" w:space="0" w:color="auto"/>
              </w:divBdr>
            </w:div>
            <w:div w:id="21286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95coalition.org/quick-clearance-toolkit.html" TargetMode="External"/><Relationship Id="rId4" Type="http://schemas.openxmlformats.org/officeDocument/2006/relationships/webSettings" Target="webSettings.xml"/><Relationship Id="rId9" Type="http://schemas.openxmlformats.org/officeDocument/2006/relationships/hyperlink" Target="http://www.i95coalition.org/quick-clearance-toolkit.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devries@dot.state.ny.u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I-95 Corridor Coalition is an alliance of state departments of transportation, regional and local transportation agencies,</vt:lpstr>
    </vt:vector>
  </TitlesOfParts>
  <Company>PB Farradyne</Company>
  <LinksUpToDate>false</LinksUpToDate>
  <CharactersWithSpaces>3068</CharactersWithSpaces>
  <SharedDoc>false</SharedDoc>
  <HLinks>
    <vt:vector size="18" baseType="variant">
      <vt:variant>
        <vt:i4>5832704</vt:i4>
      </vt:variant>
      <vt:variant>
        <vt:i4>3</vt:i4>
      </vt:variant>
      <vt:variant>
        <vt:i4>0</vt:i4>
      </vt:variant>
      <vt:variant>
        <vt:i4>5</vt:i4>
      </vt:variant>
      <vt:variant>
        <vt:lpwstr>http://www.i95coalition.org/quick-clearance-toolkit.html</vt:lpwstr>
      </vt:variant>
      <vt:variant>
        <vt:lpwstr/>
      </vt:variant>
      <vt:variant>
        <vt:i4>5832704</vt:i4>
      </vt:variant>
      <vt:variant>
        <vt:i4>0</vt:i4>
      </vt:variant>
      <vt:variant>
        <vt:i4>0</vt:i4>
      </vt:variant>
      <vt:variant>
        <vt:i4>5</vt:i4>
      </vt:variant>
      <vt:variant>
        <vt:lpwstr>http://www.i95coalition.org/quick-clearance-toolkit.html</vt:lpwstr>
      </vt:variant>
      <vt:variant>
        <vt:lpwstr/>
      </vt:variant>
      <vt:variant>
        <vt:i4>5963877</vt:i4>
      </vt:variant>
      <vt:variant>
        <vt:i4>3</vt:i4>
      </vt:variant>
      <vt:variant>
        <vt:i4>0</vt:i4>
      </vt:variant>
      <vt:variant>
        <vt:i4>5</vt:i4>
      </vt:variant>
      <vt:variant>
        <vt:lpwstr>mailto:hdevries@dot.state.ny.us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I-95 Corridor Coalition is an alliance of state departments of transportation, regional and local transportation agencies,</dc:title>
  <dc:creator>Gary Euler</dc:creator>
  <cp:lastModifiedBy>Carly</cp:lastModifiedBy>
  <cp:revision>2</cp:revision>
  <cp:lastPrinted>2005-04-29T02:48:00Z</cp:lastPrinted>
  <dcterms:created xsi:type="dcterms:W3CDTF">2015-03-04T21:30:00Z</dcterms:created>
  <dcterms:modified xsi:type="dcterms:W3CDTF">2015-03-04T21:30:00Z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1194924039</vt:i4>
  </property>
  <property fmtid="{D5CDD505-2E9C-101B-9397-08002B2CF9AE}" pid="3" name="_EmailSubject">
    <vt:lpwstr>Annual Meeting Binders &amp; Posters</vt:lpwstr>
  </property>
  <property fmtid="{D5CDD505-2E9C-101B-9397-08002B2CF9AE}" pid="4" name="_AuthorEmail">
    <vt:lpwstr>Reich@pbworld.com</vt:lpwstr>
  </property>
  <property fmtid="{D5CDD505-2E9C-101B-9397-08002B2CF9AE}" pid="5" name="_AuthorEmailDisplayName">
    <vt:lpwstr>Reich, Patty</vt:lpwstr>
  </property>
  <property fmtid="{D5CDD505-2E9C-101B-9397-08002B2CF9AE}" pid="6" name="_PreviousAdHocReviewCycleID">
    <vt:i4>-1613081738</vt:i4>
  </property>
  <property fmtid="{D5CDD505-2E9C-101B-9397-08002B2CF9AE}" pid="7" name="_ReviewingToolsShownOnce">
    <vt:lpwstr/>
  </property>
</Properties>
</file>